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br w:type="textWrapping"/>
        <w:t xml:space="preserve">TERMS OF REFERENCE FOR THE ENGAGEMENT OF A CONSULTANT TO SUPPORT THE DEVELOPMENT OF WATER, SANITATION, AND HYGIENE (WASH) FINANCE STRATEGY IN CROSS RIVER AND KANO STATES, NIGERIA</w:t>
      </w:r>
    </w:p>
    <w:p w:rsidR="00000000" w:rsidDel="00000000" w:rsidP="00000000" w:rsidRDefault="00000000" w:rsidRPr="00000000" w14:paraId="00000002">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3">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About Self Help Africa</w:t>
      </w:r>
    </w:p>
    <w:p w:rsidR="00000000" w:rsidDel="00000000" w:rsidP="00000000" w:rsidRDefault="00000000" w:rsidRPr="00000000" w14:paraId="0000000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Self Help Africa is an international development organisation headquartered in Dublin, Ireland, operating across 17 countries and dedicated to the vision of sustainable livelihoods and healthy lives for all in a changing climate. At SHA, our mission is to alleviate hunger, poverty, social inequality and the impact of climate change through community-led, market-based and enterprise-focused approaches, so that people have access to nutritious food, clean water, decent employment and income, while sustaining natural resources. </w:t>
      </w:r>
    </w:p>
    <w:p w:rsidR="00000000" w:rsidDel="00000000" w:rsidP="00000000" w:rsidRDefault="00000000" w:rsidRPr="00000000" w14:paraId="0000000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SHA has been operating in Nigeria for over 25 years, first as Concern Universal and later as United Purpose, leading innovative development programs focused on agriculture and food systems, climate adaptation, water, sanitation and hygiene (WASH) and waste management, market systems, business support and services, and sustainable landscapes. Through our work in nearly 4,000 communities across Akwa Ibom, Benue, Cross River, Ebonyi, Kano, Sokoto and Zamfara States, we have driven impactful change, empowering communities with sustainable solutions for resilience and growth.</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8">
      <w:pPr>
        <w:pStyle w:val="Heading2"/>
        <w:numPr>
          <w:ilvl w:val="0"/>
          <w:numId w:val="9"/>
        </w:numPr>
        <w:ind w:left="720" w:hanging="360"/>
        <w:rPr>
          <w:rFonts w:ascii="Open Sans" w:cs="Open Sans" w:eastAsia="Open Sans" w:hAnsi="Open Sans"/>
          <w:sz w:val="24"/>
          <w:szCs w:val="24"/>
        </w:rPr>
      </w:pPr>
      <w:bookmarkStart w:colFirst="0" w:colLast="0" w:name="_heading=h.12l2rxoj0n2p" w:id="0"/>
      <w:bookmarkEnd w:id="0"/>
      <w:r w:rsidDel="00000000" w:rsidR="00000000" w:rsidRPr="00000000">
        <w:rPr>
          <w:rFonts w:ascii="Open Sans" w:cs="Open Sans" w:eastAsia="Open Sans" w:hAnsi="Open Sans"/>
          <w:sz w:val="24"/>
          <w:szCs w:val="24"/>
          <w:rtl w:val="0"/>
        </w:rPr>
        <w:t xml:space="preserve">About the WS4H Programme</w:t>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2024, Self Help Africa secured funding from the UK’s Foreign, Commonwealth and Development Office (FCDO) to implement a WASH systems strengthening programme across Nigeria and Sierra Leone. Nigeria is leading the overall consortium and programme implementation within the country, while GOAL is leading the work in Sierra Leone. The programme aims to strengthen the systems required to deliver and sustain reliable, resilient, and inclusive WASH services. It will run for four years in Kano and Cross River States, with a national coordination hub based in Abuja.</w:t>
      </w:r>
    </w:p>
    <w:p w:rsidR="00000000" w:rsidDel="00000000" w:rsidP="00000000" w:rsidRDefault="00000000" w:rsidRPr="00000000" w14:paraId="0000000A">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bookmarkStart w:colFirst="0" w:colLast="0" w:name="_heading=h.ils7ouvyympe" w:id="1"/>
      <w:bookmarkEnd w:id="1"/>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Rationale for Developing the Kano and Cross River States WASH Finance Strategy</w:t>
      </w:r>
    </w:p>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Kano and Cross River States have made notable progress in improving access to WASH services. However, inadequate and uncoordinated financing continues to limit effective service delivery. The recently enacted Cross River State Water Law (2025) and the revised WASH Policies for both Kano and Cross River States (2025) provide an updated policy and legal framework to achieve sustainable and inclusive WASH access.</w:t>
      </w:r>
    </w:p>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Both states also plan to develop medium-term WASH Strategic Plans for the pilot LGAs under the WS4H Programme, providing a clear roadmap for improving sustainable, reliable, and climate-resilient access to WASH services.</w:t>
      </w:r>
    </w:p>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 put these policies and plans into action, a Sustainable WASH Finance Strategy is required. This strategy will guide the mobilisation, allocation, and efficient use of financial resources to meet state WASH targets in line with Sustainable Development Goal 6 (Clean Water and Sanitation), the National Action Plan for Revitalising Nigeria’s WASH Sector, and each state’s development agenda.</w:t>
      </w:r>
    </w:p>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strategy will build on lessons from the LGA-wide assessments in Makoda and Yala pilot LGAs, the Cross River State WASH Investment Plan (2024), and other global best practices. It will provide practical guidance for achieving long-term financial sustainability, climate resilience, and improved service delivery.</w:t>
      </w:r>
    </w:p>
    <w:p w:rsidR="00000000" w:rsidDel="00000000" w:rsidP="00000000" w:rsidRDefault="00000000" w:rsidRPr="00000000" w14:paraId="0000001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line with this, Self Help Africa’s WASH Systems for Health (WS4H) Programme, in collaboration with the Kano and Cross River State Ministries of Water Resources, seeks to engage a qualified consultant to develop Sustainable WASH Finance Strategy for each of the two states.</w:t>
      </w:r>
    </w:p>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Objectives of the Consultancy</w:t>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objective of this consultancy is to develop a comprehensive and sustainable WASH Finance Strategy for both states that:</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Assesses the current WASH financing landscape, including funding flows, gaps, and opportunities.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Defines life-cycle costing for sustainable WASH services.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Identifies the financial gap to achieve short-, medium-, and long-term WASH targets.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Develop a financing framework and investment roadmap that outlines potential public, private, and innovative financing mechanisms.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Propose institutional and governance arrangements for improved coordination, accountability, and sustainability of WASH financing.</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Provide costed recommendations and implementation guidance for rolling out the strategies in both states.</w:t>
      </w:r>
    </w:p>
    <w:p w:rsidR="00000000" w:rsidDel="00000000" w:rsidP="00000000" w:rsidRDefault="00000000" w:rsidRPr="00000000" w14:paraId="0000001F">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Technical Deliverables</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Inception report detailing methodology, work plan, and outline of each state’s finance strategy.</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Report on the final stakeholder validation workshop</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Draft costed implementation plan for the finance strategy</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Final harmonised draft of the Sustainable Finance Strategy for each state. </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Briefing notes to support high-level stakeholder by-in and adoption</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Finalised Finance Strategy Documents (both clean and tracked versions for both states)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PowerPoint presentation summarising key policy highlights for the official launch</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Scope of Work:</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Desk Review and Situation Analysis </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Conduct a desk review of relevant documents including: the CRS and Kano State WASH Policy (2025), existing Water and Sanitation Laws, WASH Investment plans (if available), sector budgets, national financing frameworks, and development partner reports.</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Map existing financing sources (public budgets, donor funds, user fees, private investments, etc.).</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Analyse historical and current WASH budgets and expenditure, funding sources (taxes, tariffs, transfers, repayable finances), and financing mechanisms (concessional and commercial).</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Identify key financing gaps and institutional bottlenecks.</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Review financial management, tracking, and accountability mechanisms.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Stakeholder Consultations   </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Conduct consultations with key stakeholders: government ministries, local authorities, development partners, civil society organizations, and community representatives.</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Facilitate a joint consultative workshop in both states to gather and document stakeholder perspectives and consensus on Finance Strategy priorities.</w:t>
      </w:r>
    </w:p>
    <w:p w:rsidR="00000000" w:rsidDel="00000000" w:rsidP="00000000" w:rsidRDefault="00000000" w:rsidRPr="00000000" w14:paraId="00000032">
      <w:pPr>
        <w:rPr>
          <w:rFonts w:ascii="Open Sans" w:cs="Open Sans" w:eastAsia="Open Sans" w:hAnsi="Open Sans"/>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5"/>
          <w:szCs w:val="25"/>
          <w:u w:val="none"/>
          <w:shd w:fill="auto" w:val="clear"/>
          <w:vertAlign w:val="baseline"/>
          <w:rtl w:val="0"/>
        </w:rPr>
        <w:t xml:space="preserve">Life-Cycle Costing (LCC) for Water Facilities in the State</w:t>
      </w:r>
      <w:r w:rsidDel="00000000" w:rsidR="00000000" w:rsidRPr="00000000">
        <w:rPr>
          <w:rtl w:val="0"/>
        </w:rPr>
      </w:r>
    </w:p>
    <w:p w:rsidR="00000000" w:rsidDel="00000000" w:rsidP="00000000" w:rsidRDefault="00000000" w:rsidRPr="00000000" w14:paraId="00000035">
      <w:pPr>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Mine the required data and leverage on projections from the data generated from the LGA-wide Assessment and Sanitation Inventory (in Makoda and Yala LGAs), conduct needed analysis of the data to harvest information required for LCC such as: </w:t>
      </w:r>
    </w:p>
    <w:p w:rsidR="00000000" w:rsidDel="00000000" w:rsidP="00000000" w:rsidRDefault="00000000" w:rsidRPr="00000000" w14:paraId="00000036">
      <w:pPr>
        <w:numPr>
          <w:ilvl w:val="1"/>
          <w:numId w:val="10"/>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An inventory of existing water facilities</w:t>
      </w:r>
    </w:p>
    <w:p w:rsidR="00000000" w:rsidDel="00000000" w:rsidP="00000000" w:rsidRDefault="00000000" w:rsidRPr="00000000" w14:paraId="00000037">
      <w:pPr>
        <w:numPr>
          <w:ilvl w:val="1"/>
          <w:numId w:val="10"/>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Identify all water supply systems (e.g., boreholes, motorized schemes, hand pumps, solar-powered systems) by location, type, age, and current functionality.</w:t>
      </w:r>
    </w:p>
    <w:p w:rsidR="00000000" w:rsidDel="00000000" w:rsidP="00000000" w:rsidRDefault="00000000" w:rsidRPr="00000000" w14:paraId="00000038">
      <w:pPr>
        <w:numPr>
          <w:ilvl w:val="1"/>
          <w:numId w:val="10"/>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Classify facilities by technology and service level. etc</w:t>
      </w:r>
    </w:p>
    <w:p w:rsidR="00000000" w:rsidDel="00000000" w:rsidP="00000000" w:rsidRDefault="00000000" w:rsidRPr="00000000" w14:paraId="00000039">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Determine Standard Cost Categories</w:t>
      </w:r>
      <w:r w:rsidDel="00000000" w:rsidR="00000000" w:rsidRPr="00000000">
        <w:rPr>
          <w:rtl w:val="0"/>
        </w:rPr>
      </w:r>
    </w:p>
    <w:p w:rsidR="00000000" w:rsidDel="00000000" w:rsidP="00000000" w:rsidRDefault="00000000" w:rsidRPr="00000000" w14:paraId="0000003A">
      <w:pPr>
        <w:numPr>
          <w:ilvl w:val="1"/>
          <w:numId w:val="12"/>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Define relevant cost categories in line with LCC methodology:</w:t>
      </w:r>
    </w:p>
    <w:p w:rsidR="00000000" w:rsidDel="00000000" w:rsidP="00000000" w:rsidRDefault="00000000" w:rsidRPr="00000000" w14:paraId="0000003B">
      <w:pPr>
        <w:numPr>
          <w:ilvl w:val="2"/>
          <w:numId w:val="11"/>
        </w:numPr>
        <w:spacing w:after="200" w:lineRule="auto"/>
        <w:ind w:left="216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Capital Expenditure (CapEx)</w:t>
      </w:r>
      <w:r w:rsidDel="00000000" w:rsidR="00000000" w:rsidRPr="00000000">
        <w:rPr>
          <w:rFonts w:ascii="Quattrocento Sans" w:cs="Quattrocento Sans" w:eastAsia="Quattrocento Sans" w:hAnsi="Quattrocento Sans"/>
          <w:sz w:val="25"/>
          <w:szCs w:val="25"/>
          <w:rtl w:val="0"/>
        </w:rPr>
        <w:t xml:space="preserve"> – Initial construction or purchase costs</w:t>
      </w:r>
    </w:p>
    <w:p w:rsidR="00000000" w:rsidDel="00000000" w:rsidP="00000000" w:rsidRDefault="00000000" w:rsidRPr="00000000" w14:paraId="0000003C">
      <w:pPr>
        <w:numPr>
          <w:ilvl w:val="2"/>
          <w:numId w:val="11"/>
        </w:numPr>
        <w:spacing w:after="200" w:lineRule="auto"/>
        <w:ind w:left="216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Operational Expenditure (OpEx)</w:t>
      </w:r>
      <w:r w:rsidDel="00000000" w:rsidR="00000000" w:rsidRPr="00000000">
        <w:rPr>
          <w:rFonts w:ascii="Quattrocento Sans" w:cs="Quattrocento Sans" w:eastAsia="Quattrocento Sans" w:hAnsi="Quattrocento Sans"/>
          <w:sz w:val="25"/>
          <w:szCs w:val="25"/>
          <w:rtl w:val="0"/>
        </w:rPr>
        <w:t xml:space="preserve"> – Regular running costs (e.g., energy, staff, fuel)</w:t>
      </w:r>
    </w:p>
    <w:p w:rsidR="00000000" w:rsidDel="00000000" w:rsidP="00000000" w:rsidRDefault="00000000" w:rsidRPr="00000000" w14:paraId="0000003D">
      <w:pPr>
        <w:numPr>
          <w:ilvl w:val="2"/>
          <w:numId w:val="11"/>
        </w:numPr>
        <w:spacing w:after="200" w:lineRule="auto"/>
        <w:ind w:left="216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Capital Maintenance Expenditure (CapManEx)</w:t>
      </w:r>
      <w:r w:rsidDel="00000000" w:rsidR="00000000" w:rsidRPr="00000000">
        <w:rPr>
          <w:rFonts w:ascii="Quattrocento Sans" w:cs="Quattrocento Sans" w:eastAsia="Quattrocento Sans" w:hAnsi="Quattrocento Sans"/>
          <w:sz w:val="25"/>
          <w:szCs w:val="25"/>
          <w:rtl w:val="0"/>
        </w:rPr>
        <w:t xml:space="preserve"> – Major repairs or part replacements</w:t>
      </w:r>
    </w:p>
    <w:p w:rsidR="00000000" w:rsidDel="00000000" w:rsidP="00000000" w:rsidRDefault="00000000" w:rsidRPr="00000000" w14:paraId="0000003E">
      <w:pPr>
        <w:numPr>
          <w:ilvl w:val="2"/>
          <w:numId w:val="11"/>
        </w:numPr>
        <w:spacing w:after="200" w:lineRule="auto"/>
        <w:ind w:left="216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Expenditure on Direct Support (ExpDS)</w:t>
      </w:r>
      <w:r w:rsidDel="00000000" w:rsidR="00000000" w:rsidRPr="00000000">
        <w:rPr>
          <w:rFonts w:ascii="Quattrocento Sans" w:cs="Quattrocento Sans" w:eastAsia="Quattrocento Sans" w:hAnsi="Quattrocento Sans"/>
          <w:sz w:val="25"/>
          <w:szCs w:val="25"/>
          <w:rtl w:val="0"/>
        </w:rPr>
        <w:t xml:space="preserve"> – Costs for supervision, technical support, monitoring</w:t>
      </w:r>
    </w:p>
    <w:p w:rsidR="00000000" w:rsidDel="00000000" w:rsidP="00000000" w:rsidRDefault="00000000" w:rsidRPr="00000000" w14:paraId="0000003F">
      <w:pPr>
        <w:numPr>
          <w:ilvl w:val="2"/>
          <w:numId w:val="11"/>
        </w:numPr>
        <w:spacing w:after="200" w:lineRule="auto"/>
        <w:ind w:left="216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Expenditure on Indirect Support (ExpIDS)</w:t>
      </w:r>
      <w:r w:rsidDel="00000000" w:rsidR="00000000" w:rsidRPr="00000000">
        <w:rPr>
          <w:rFonts w:ascii="Quattrocento Sans" w:cs="Quattrocento Sans" w:eastAsia="Quattrocento Sans" w:hAnsi="Quattrocento Sans"/>
          <w:sz w:val="25"/>
          <w:szCs w:val="25"/>
          <w:rtl w:val="0"/>
        </w:rPr>
        <w:t xml:space="preserve"> – Broader institutional and policy support</w:t>
      </w:r>
    </w:p>
    <w:p w:rsidR="00000000" w:rsidDel="00000000" w:rsidP="00000000" w:rsidRDefault="00000000" w:rsidRPr="00000000" w14:paraId="00000040">
      <w:pPr>
        <w:numPr>
          <w:ilvl w:val="2"/>
          <w:numId w:val="11"/>
        </w:numPr>
        <w:spacing w:after="200" w:lineRule="auto"/>
        <w:ind w:left="216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Cost of Capital/Finance</w:t>
      </w:r>
      <w:r w:rsidDel="00000000" w:rsidR="00000000" w:rsidRPr="00000000">
        <w:rPr>
          <w:rFonts w:ascii="Quattrocento Sans" w:cs="Quattrocento Sans" w:eastAsia="Quattrocento Sans" w:hAnsi="Quattrocento Sans"/>
          <w:sz w:val="25"/>
          <w:szCs w:val="25"/>
          <w:rtl w:val="0"/>
        </w:rPr>
        <w:t xml:space="preserve"> (where applicable)</w:t>
      </w:r>
    </w:p>
    <w:p w:rsidR="00000000" w:rsidDel="00000000" w:rsidP="00000000" w:rsidRDefault="00000000" w:rsidRPr="00000000" w14:paraId="00000041">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Collect Unit Cost Data for Each Cost Category</w:t>
      </w:r>
      <w:r w:rsidDel="00000000" w:rsidR="00000000" w:rsidRPr="00000000">
        <w:rPr>
          <w:rtl w:val="0"/>
        </w:rPr>
      </w:r>
    </w:p>
    <w:p w:rsidR="00000000" w:rsidDel="00000000" w:rsidP="00000000" w:rsidRDefault="00000000" w:rsidRPr="00000000" w14:paraId="00000042">
      <w:pPr>
        <w:numPr>
          <w:ilvl w:val="1"/>
          <w:numId w:val="13"/>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Gather cost data from recent projects, LGA/State records, RUWASSA, private providers, and NGOs etc.</w:t>
      </w:r>
    </w:p>
    <w:p w:rsidR="00000000" w:rsidDel="00000000" w:rsidP="00000000" w:rsidRDefault="00000000" w:rsidRPr="00000000" w14:paraId="00000043">
      <w:pPr>
        <w:numPr>
          <w:ilvl w:val="1"/>
          <w:numId w:val="13"/>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Adjust costs for inflation, location differences, and technology type.</w:t>
      </w:r>
    </w:p>
    <w:p w:rsidR="00000000" w:rsidDel="00000000" w:rsidP="00000000" w:rsidRDefault="00000000" w:rsidRPr="00000000" w14:paraId="00000044">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Estimate Life Cycle Costs per Facility Type</w:t>
      </w:r>
      <w:r w:rsidDel="00000000" w:rsidR="00000000" w:rsidRPr="00000000">
        <w:rPr>
          <w:rtl w:val="0"/>
        </w:rPr>
      </w:r>
    </w:p>
    <w:p w:rsidR="00000000" w:rsidDel="00000000" w:rsidP="00000000" w:rsidRDefault="00000000" w:rsidRPr="00000000" w14:paraId="00000045">
      <w:pPr>
        <w:numPr>
          <w:ilvl w:val="1"/>
          <w:numId w:val="14"/>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Develop cost models showing average annual costs over the expected lifespan of each water facility type (e.g., hand pump: 10–15 years, motorized borehole: 20 years).</w:t>
      </w:r>
    </w:p>
    <w:p w:rsidR="00000000" w:rsidDel="00000000" w:rsidP="00000000" w:rsidRDefault="00000000" w:rsidRPr="00000000" w14:paraId="00000046">
      <w:pPr>
        <w:numPr>
          <w:ilvl w:val="1"/>
          <w:numId w:val="14"/>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Include assumptions on service levels, usage, maintenance frequency, and rehabilitation cycles.</w:t>
      </w:r>
    </w:p>
    <w:p w:rsidR="00000000" w:rsidDel="00000000" w:rsidP="00000000" w:rsidRDefault="00000000" w:rsidRPr="00000000" w14:paraId="00000047">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Analyze Financing Gaps</w:t>
      </w:r>
      <w:r w:rsidDel="00000000" w:rsidR="00000000" w:rsidRPr="00000000">
        <w:rPr>
          <w:rtl w:val="0"/>
        </w:rPr>
      </w:r>
    </w:p>
    <w:p w:rsidR="00000000" w:rsidDel="00000000" w:rsidP="00000000" w:rsidRDefault="00000000" w:rsidRPr="00000000" w14:paraId="00000048">
      <w:pPr>
        <w:numPr>
          <w:ilvl w:val="1"/>
          <w:numId w:val="15"/>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Compare life cycle costs with current and projected state WASH budgets.</w:t>
      </w:r>
    </w:p>
    <w:p w:rsidR="00000000" w:rsidDel="00000000" w:rsidP="00000000" w:rsidRDefault="00000000" w:rsidRPr="00000000" w14:paraId="00000049">
      <w:pPr>
        <w:numPr>
          <w:ilvl w:val="1"/>
          <w:numId w:val="15"/>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Identify underfunded components (e.g., recurrent costs, capital maintenance).</w:t>
      </w:r>
    </w:p>
    <w:p w:rsidR="00000000" w:rsidDel="00000000" w:rsidP="00000000" w:rsidRDefault="00000000" w:rsidRPr="00000000" w14:paraId="0000004A">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Develop Costing Scenarios</w:t>
      </w:r>
      <w:r w:rsidDel="00000000" w:rsidR="00000000" w:rsidRPr="00000000">
        <w:rPr>
          <w:rtl w:val="0"/>
        </w:rPr>
      </w:r>
    </w:p>
    <w:p w:rsidR="00000000" w:rsidDel="00000000" w:rsidP="00000000" w:rsidRDefault="00000000" w:rsidRPr="00000000" w14:paraId="0000004B">
      <w:pPr>
        <w:numPr>
          <w:ilvl w:val="1"/>
          <w:numId w:val="16"/>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Model different service coverage scenarios (e.g., 75% vs 100% coverage) and their corresponding LCC.</w:t>
      </w:r>
    </w:p>
    <w:p w:rsidR="00000000" w:rsidDel="00000000" w:rsidP="00000000" w:rsidRDefault="00000000" w:rsidRPr="00000000" w14:paraId="0000004C">
      <w:pPr>
        <w:numPr>
          <w:ilvl w:val="1"/>
          <w:numId w:val="16"/>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Factor in population growth, technology choices, climate risks, and inflation.</w:t>
      </w:r>
    </w:p>
    <w:p w:rsidR="00000000" w:rsidDel="00000000" w:rsidP="00000000" w:rsidRDefault="00000000" w:rsidRPr="00000000" w14:paraId="0000004D">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Recommend Sustainable Financing Strategies</w:t>
      </w:r>
      <w:r w:rsidDel="00000000" w:rsidR="00000000" w:rsidRPr="00000000">
        <w:rPr>
          <w:rtl w:val="0"/>
        </w:rPr>
      </w:r>
    </w:p>
    <w:p w:rsidR="00000000" w:rsidDel="00000000" w:rsidP="00000000" w:rsidRDefault="00000000" w:rsidRPr="00000000" w14:paraId="0000004E">
      <w:pPr>
        <w:numPr>
          <w:ilvl w:val="1"/>
          <w:numId w:val="17"/>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Suggest financing mechanisms (e.g., user tariffs, State budget allocations, donor support, PPPs).</w:t>
      </w:r>
    </w:p>
    <w:p w:rsidR="00000000" w:rsidDel="00000000" w:rsidP="00000000" w:rsidRDefault="00000000" w:rsidRPr="00000000" w14:paraId="0000004F">
      <w:pPr>
        <w:numPr>
          <w:ilvl w:val="1"/>
          <w:numId w:val="17"/>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Propose cost recovery models tailored to local socio-economic contexts.</w:t>
      </w:r>
    </w:p>
    <w:p w:rsidR="00000000" w:rsidDel="00000000" w:rsidP="00000000" w:rsidRDefault="00000000" w:rsidRPr="00000000" w14:paraId="00000050">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Prepare Life Cycle Costing Tables and Dashboards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Quattrocento Sans" w:cs="Quattrocento Sans" w:eastAsia="Quattrocento Sans" w:hAnsi="Quattrocento Sans"/>
          <w:b w:val="0"/>
          <w:bCs w:val="0"/>
          <w:i w:val="0"/>
          <w:iCs w:val="0"/>
          <w:smallCaps w:val="0"/>
          <w:strike w:val="0"/>
          <w:color w:val="000000"/>
          <w:sz w:val="25"/>
          <w:szCs w:val="25"/>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5"/>
          <w:szCs w:val="25"/>
          <w:u w:val="none"/>
          <w:shd w:fill="auto" w:val="clear"/>
          <w:vertAlign w:val="baseline"/>
          <w:rtl w:val="0"/>
        </w:rPr>
        <w:t xml:space="preserve">Develop clear, user-friendly LCC tables for inclusion in the strategic plan.</w:t>
      </w:r>
    </w:p>
    <w:p w:rsidR="00000000" w:rsidDel="00000000" w:rsidP="00000000" w:rsidRDefault="00000000" w:rsidRPr="00000000" w14:paraId="000000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40" w:lineRule="auto"/>
        <w:ind w:left="1800" w:right="0" w:hanging="360"/>
        <w:jc w:val="both"/>
        <w:rPr>
          <w:rFonts w:ascii="Quattrocento Sans" w:cs="Quattrocento Sans" w:eastAsia="Quattrocento Sans" w:hAnsi="Quattrocento Sans"/>
          <w:b w:val="0"/>
          <w:bCs w:val="0"/>
          <w:i w:val="0"/>
          <w:iCs w:val="0"/>
          <w:smallCaps w:val="0"/>
          <w:strike w:val="0"/>
          <w:color w:val="000000"/>
          <w:sz w:val="25"/>
          <w:szCs w:val="25"/>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5"/>
          <w:szCs w:val="25"/>
          <w:u w:val="none"/>
          <w:shd w:fill="auto" w:val="clear"/>
          <w:vertAlign w:val="baseline"/>
          <w:rtl w:val="0"/>
        </w:rPr>
        <w:t xml:space="preserve">Visualize key indicators (e.g., cost per capita, annual maintenance budget needs, funding gaps).</w:t>
      </w:r>
    </w:p>
    <w:p w:rsidR="00000000" w:rsidDel="00000000" w:rsidP="00000000" w:rsidRDefault="00000000" w:rsidRPr="00000000" w14:paraId="00000053">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Build State Understanding of LCC</w:t>
      </w:r>
      <w:r w:rsidDel="00000000" w:rsidR="00000000" w:rsidRPr="00000000">
        <w:rPr>
          <w:rtl w:val="0"/>
        </w:rPr>
      </w:r>
    </w:p>
    <w:p w:rsidR="00000000" w:rsidDel="00000000" w:rsidP="00000000" w:rsidRDefault="00000000" w:rsidRPr="00000000" w14:paraId="00000054">
      <w:pPr>
        <w:numPr>
          <w:ilvl w:val="1"/>
          <w:numId w:val="19"/>
        </w:numPr>
        <w:spacing w:after="200" w:lineRule="auto"/>
        <w:ind w:left="144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sz w:val="25"/>
          <w:szCs w:val="25"/>
          <w:rtl w:val="0"/>
        </w:rPr>
        <w:t xml:space="preserve">Facilitate a short training or orientation for State stakeholders on interpreting and using LCC for planning and budgeting.</w:t>
      </w:r>
    </w:p>
    <w:p w:rsidR="00000000" w:rsidDel="00000000" w:rsidP="00000000" w:rsidRDefault="00000000" w:rsidRPr="00000000" w14:paraId="00000055">
      <w:pPr>
        <w:numPr>
          <w:ilvl w:val="0"/>
          <w:numId w:val="11"/>
        </w:numPr>
        <w:spacing w:after="200" w:lineRule="auto"/>
        <w:ind w:left="720" w:hanging="360"/>
        <w:rPr>
          <w:rFonts w:ascii="Quattrocento Sans" w:cs="Quattrocento Sans" w:eastAsia="Quattrocento Sans" w:hAnsi="Quattrocento Sans"/>
          <w:sz w:val="25"/>
          <w:szCs w:val="25"/>
        </w:rPr>
      </w:pPr>
      <w:r w:rsidDel="00000000" w:rsidR="00000000" w:rsidRPr="00000000">
        <w:rPr>
          <w:rFonts w:ascii="Quattrocento Sans" w:cs="Quattrocento Sans" w:eastAsia="Quattrocento Sans" w:hAnsi="Quattrocento Sans"/>
          <w:b w:val="1"/>
          <w:bCs w:val="1"/>
          <w:sz w:val="25"/>
          <w:szCs w:val="25"/>
          <w:rtl w:val="0"/>
        </w:rPr>
        <w:t xml:space="preserve">Integrate LCC into the broad State WASH Financing  Strategy</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rFonts w:ascii="Quattrocento Sans" w:cs="Quattrocento Sans" w:eastAsia="Quattrocento Sans" w:hAnsi="Quattrocento Sans"/>
          <w:b w:val="0"/>
          <w:bCs w:val="0"/>
          <w:i w:val="0"/>
          <w:iCs w:val="0"/>
          <w:smallCaps w:val="0"/>
          <w:strike w:val="0"/>
          <w:color w:val="000000"/>
          <w:sz w:val="25"/>
          <w:szCs w:val="25"/>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5"/>
          <w:szCs w:val="25"/>
          <w:u w:val="none"/>
          <w:shd w:fill="auto" w:val="clear"/>
          <w:vertAlign w:val="baseline"/>
          <w:rtl w:val="0"/>
        </w:rPr>
        <w:t xml:space="preserve">Ensure life cycle costing informs prioritization, investment planning, and long-term sustainability strategies within the WASH finance strategy.</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tl w:val="0"/>
        </w:rPr>
        <w:t xml:space="preserve">Development of  finance strategy for each State: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Develop a structured WASH finance strategy framework for each state, including:</w:t>
      </w:r>
    </w:p>
    <w:p w:rsidR="00000000" w:rsidDel="00000000" w:rsidP="00000000" w:rsidRDefault="00000000" w:rsidRPr="00000000" w14:paraId="0000005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280" w:line="276" w:lineRule="auto"/>
        <w:ind w:left="144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Financing needs assessment and costing framework.</w:t>
      </w:r>
    </w:p>
    <w:p w:rsidR="00000000" w:rsidDel="00000000" w:rsidP="00000000" w:rsidRDefault="00000000" w:rsidRPr="00000000" w14:paraId="0000005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Resource mobilization strategy (public, private, innovative finance).</w:t>
      </w:r>
    </w:p>
    <w:p w:rsidR="00000000" w:rsidDel="00000000" w:rsidP="00000000" w:rsidRDefault="00000000" w:rsidRPr="00000000" w14:paraId="0000005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Allocation and expenditure efficiency measures.</w:t>
      </w:r>
    </w:p>
    <w:p w:rsidR="00000000" w:rsidDel="00000000" w:rsidP="00000000" w:rsidRDefault="00000000" w:rsidRPr="00000000" w14:paraId="0000005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Accountability, monitoring, and reporting mechanisms.</w:t>
      </w:r>
    </w:p>
    <w:p w:rsidR="00000000" w:rsidDel="00000000" w:rsidP="00000000" w:rsidRDefault="00000000" w:rsidRPr="00000000" w14:paraId="0000005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Capacity strengthening roadmap for finance and planning institutions.</w:t>
      </w:r>
    </w:p>
    <w:p w:rsidR="00000000" w:rsidDel="00000000" w:rsidP="00000000" w:rsidRDefault="00000000" w:rsidRPr="00000000" w14:paraId="0000005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Integrate climate resilience, gender, and equity considerations into the strategy.</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Facilitate a multi-stakeholder workshop to:</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Present first draft of the strategy for review after incorporating inputs from key actors (Ministry of Water Resources, Budget and Planning, Finance, RUWATSSA, Water Board, development partners, civil society, the private sector etc).</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Present a second draft finance strategy to stakeholders for finalisation, validation and adoption. (Incorporate final feedback and produce a final, endorsed version).</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Produce a final Sustainable WASH Finance Strategy and an Executive Summary for advocacy –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per state.</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Expected Outcomes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 validated, data-driven Cross River/Kano State Sustainable WASH Finance Strategy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2026 –2031</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Clear financing pathways to achieve SDG 6 and Cross River/Kano development priorities.</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Strengthened capacity among state WASH institutions for financial planning, monitoring, and resource mobilisation.</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Enhanced coordination between public, private, and donor financing mechanisms.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Client (SHA/MoWR) Responsibilities:</w:t>
      </w:r>
    </w:p>
    <w:p w:rsidR="00000000" w:rsidDel="00000000" w:rsidP="00000000" w:rsidRDefault="00000000" w:rsidRPr="00000000" w14:paraId="0000006C">
      <w:pPr>
        <w:numPr>
          <w:ilvl w:val="0"/>
          <w:numId w:val="21"/>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Provide </w:t>
      </w:r>
      <w:r w:rsidDel="00000000" w:rsidR="00000000" w:rsidRPr="00000000">
        <w:rPr>
          <w:rFonts w:ascii="Open Sans" w:cs="Open Sans" w:eastAsia="Open Sans" w:hAnsi="Open Sans"/>
          <w:b w:val="1"/>
          <w:bCs w:val="1"/>
          <w:color w:val="000000"/>
          <w:sz w:val="24"/>
          <w:szCs w:val="24"/>
          <w:rtl w:val="0"/>
        </w:rPr>
        <w:t xml:space="preserve">available</w:t>
      </w:r>
      <w:r w:rsidDel="00000000" w:rsidR="00000000" w:rsidRPr="00000000">
        <w:rPr>
          <w:rFonts w:ascii="Open Sans" w:cs="Open Sans" w:eastAsia="Open Sans" w:hAnsi="Open Sans"/>
          <w:color w:val="000000"/>
          <w:sz w:val="24"/>
          <w:szCs w:val="24"/>
          <w:rtl w:val="0"/>
        </w:rPr>
        <w:t xml:space="preserve">  relevant background documents and data (Consultant to mine or gather additional data/where not readily available from SHA) </w:t>
      </w:r>
    </w:p>
    <w:p w:rsidR="00000000" w:rsidDel="00000000" w:rsidP="00000000" w:rsidRDefault="00000000" w:rsidRPr="00000000" w14:paraId="0000006D">
      <w:pPr>
        <w:numPr>
          <w:ilvl w:val="0"/>
          <w:numId w:val="21"/>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Coordinate stakeholder engagement and handle logistics for stakeholders workshops</w:t>
      </w:r>
      <w:r w:rsidDel="00000000" w:rsidR="00000000" w:rsidRPr="00000000">
        <w:rPr>
          <w:rFonts w:ascii="Open Sans" w:cs="Open Sans" w:eastAsia="Open Sans" w:hAnsi="Open Sans"/>
          <w:b w:val="1"/>
          <w:bCs w:val="1"/>
          <w:color w:val="000000"/>
          <w:sz w:val="24"/>
          <w:szCs w:val="24"/>
          <w:rtl w:val="0"/>
        </w:rPr>
        <w:t xml:space="preserve"> only</w:t>
      </w:r>
      <w:r w:rsidDel="00000000" w:rsidR="00000000" w:rsidRPr="00000000">
        <w:rPr>
          <w:rFonts w:ascii="Open Sans" w:cs="Open Sans" w:eastAsia="Open Sans" w:hAnsi="Open Sans"/>
          <w:color w:val="000000"/>
          <w:sz w:val="24"/>
          <w:szCs w:val="24"/>
          <w:rtl w:val="0"/>
        </w:rPr>
        <w:t xml:space="preserve"> </w:t>
      </w:r>
    </w:p>
    <w:p w:rsidR="00000000" w:rsidDel="00000000" w:rsidP="00000000" w:rsidRDefault="00000000" w:rsidRPr="00000000" w14:paraId="0000006E">
      <w:pPr>
        <w:numPr>
          <w:ilvl w:val="0"/>
          <w:numId w:val="21"/>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Review and approve deliverables submitted by the consultant.</w:t>
      </w:r>
    </w:p>
    <w:p w:rsidR="00000000" w:rsidDel="00000000" w:rsidP="00000000" w:rsidRDefault="00000000" w:rsidRPr="00000000" w14:paraId="0000006F">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70">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Deliverables and Timeline</w:t>
      </w:r>
    </w:p>
    <w:p w:rsidR="00000000" w:rsidDel="00000000" w:rsidP="00000000" w:rsidRDefault="00000000" w:rsidRPr="00000000" w14:paraId="00000071">
      <w:pPr>
        <w:rPr>
          <w:i w:val="1"/>
          <w:iCs w:val="1"/>
        </w:rPr>
      </w:pPr>
      <w:r w:rsidDel="00000000" w:rsidR="00000000" w:rsidRPr="00000000">
        <w:rPr>
          <w:i w:val="1"/>
          <w:iCs w:val="1"/>
          <w:rtl w:val="0"/>
        </w:rPr>
        <w:t xml:space="preserve">The period of assignment will be subject to review during the contracting phase.</w:t>
      </w:r>
    </w:p>
    <w:p w:rsidR="00000000" w:rsidDel="00000000" w:rsidP="00000000" w:rsidRDefault="00000000" w:rsidRPr="00000000" w14:paraId="00000072">
      <w:pPr>
        <w:rPr>
          <w:i w:val="1"/>
          <w:iCs w:val="1"/>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b w:val="1"/>
          <w:bCs w:val="1"/>
          <w:rtl w:val="0"/>
        </w:rPr>
        <w:t xml:space="preserve">                                                        Cross River State </w:t>
      </w:r>
    </w:p>
    <w:tbl>
      <w:tblPr>
        <w:tblStyle w:val="Table1"/>
        <w:tblW w:w="9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2790"/>
        <w:tblGridChange w:id="0">
          <w:tblGrid>
            <w:gridCol w:w="7015"/>
            <w:gridCol w:w="2790"/>
          </w:tblGrid>
        </w:tblGridChange>
      </w:tblGrid>
      <w:tr>
        <w:trPr>
          <w:cantSplit w:val="0"/>
          <w:trHeight w:val="799" w:hRule="atLeast"/>
          <w:tblHeader w:val="1"/>
        </w:trPr>
        <w:tc>
          <w:tcPr>
            <w:shd w:fill="ffffff" w:val="clear"/>
            <w:tcMar>
              <w:top w:w="184.0" w:type="dxa"/>
              <w:left w:w="184.0" w:type="dxa"/>
              <w:bottom w:w="184.0" w:type="dxa"/>
              <w:right w:w="184.0" w:type="dxa"/>
            </w:tcMar>
            <w:vAlign w:val="center"/>
          </w:tcPr>
          <w:p w:rsidR="00000000" w:rsidDel="00000000" w:rsidP="00000000" w:rsidRDefault="00000000" w:rsidRPr="00000000" w14:paraId="00000074">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Deliverable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75">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Timeline </w:t>
            </w:r>
          </w:p>
          <w:p w:rsidR="00000000" w:rsidDel="00000000" w:rsidP="00000000" w:rsidRDefault="00000000" w:rsidRPr="00000000" w14:paraId="00000076">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(7 weeks)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7">
            <w:pPr>
              <w:spacing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desk Review and Situation Analysis (produce high quality report)</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78">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1</w:t>
            </w: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Conduct consultations with key stakeholders: government ministries, local authorities, development partners, civil society organizations, and community representatives.</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Facilitate a joint consultative workshop to gather and document stakeholder perspectives and consensus on Finance Strategy priorities.</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Open Sans" w:cs="Open Sans" w:eastAsia="Open Sans" w:hAnsi="Open Sans"/>
                <w:b w:val="1"/>
                <w:bCs w:val="1"/>
                <w:color w:val="000000"/>
                <w:sz w:val="24"/>
                <w:szCs w:val="24"/>
              </w:rPr>
            </w:pPr>
            <w:r w:rsidDel="00000000" w:rsidR="00000000" w:rsidRPr="00000000">
              <w:rPr>
                <w:rtl w:val="0"/>
              </w:rPr>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7C">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2 </w:t>
            </w: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Life Cycle Cost Analysis </w:t>
            </w:r>
          </w:p>
        </w:tc>
        <w:tc>
          <w:tcPr>
            <w:tcBorders>
              <w:top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7E">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3</w:t>
            </w:r>
            <w:r w:rsidDel="00000000" w:rsidR="00000000" w:rsidRPr="00000000">
              <w:rPr>
                <w:rFonts w:ascii="Open Sans" w:cs="Open Sans" w:eastAsia="Open Sans" w:hAnsi="Open Sans"/>
                <w:sz w:val="24"/>
                <w:szCs w:val="24"/>
                <w:rtl w:val="0"/>
              </w:rPr>
              <w:t xml:space="preserve">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Develop a draft finance strategy for Cross River State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80">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4</w:t>
            </w: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8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Presentation and review of the draft Financial Strategy in Cross River (</w:t>
            </w:r>
            <w:r w:rsidDel="00000000" w:rsidR="00000000" w:rsidRPr="00000000">
              <w:rPr>
                <w:rFonts w:ascii="Open Sans" w:cs="Open Sans" w:eastAsia="Open Sans" w:hAnsi="Open Sans"/>
                <w:color w:val="000000"/>
                <w:sz w:val="24"/>
                <w:szCs w:val="24"/>
                <w:rtl w:val="0"/>
              </w:rPr>
              <w:t xml:space="preserve">Incorporate feedback from stakeholders after the workshop) </w:t>
            </w:r>
            <w:r w:rsidDel="00000000" w:rsidR="00000000" w:rsidRPr="00000000">
              <w:rPr>
                <w:rtl w:val="0"/>
              </w:rPr>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82">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5</w:t>
            </w:r>
            <w:r w:rsidDel="00000000" w:rsidR="00000000" w:rsidRPr="00000000">
              <w:rPr>
                <w:rFonts w:ascii="Open Sans" w:cs="Open Sans" w:eastAsia="Open Sans" w:hAnsi="Open Sans"/>
                <w:sz w:val="24"/>
                <w:szCs w:val="24"/>
                <w:rtl w:val="0"/>
              </w:rPr>
              <w:t xml:space="preserve">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Finalisation/validation of the finance strategy. (Incorporate final feedback and produce a final, endorsed version).</w:t>
            </w:r>
          </w:p>
          <w:p w:rsidR="00000000" w:rsidDel="00000000" w:rsidP="00000000" w:rsidRDefault="00000000" w:rsidRPr="00000000" w14:paraId="00000084">
            <w:pPr>
              <w:rPr>
                <w:rFonts w:ascii="Open Sans" w:cs="Open Sans" w:eastAsia="Open Sans" w:hAnsi="Open Sans"/>
                <w:sz w:val="24"/>
                <w:szCs w:val="24"/>
              </w:rPr>
            </w:pPr>
            <w:r w:rsidDel="00000000" w:rsidR="00000000" w:rsidRPr="00000000">
              <w:rPr>
                <w:rtl w:val="0"/>
              </w:rPr>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85">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6 </w:t>
            </w: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Review and address post workshop feedback from State, National and Global Stakeholders/Partners</w:t>
            </w:r>
          </w:p>
          <w:p w:rsidR="00000000" w:rsidDel="00000000" w:rsidP="00000000" w:rsidRDefault="00000000" w:rsidRPr="00000000" w14:paraId="00000087">
            <w:pPr>
              <w:numPr>
                <w:ilvl w:val="0"/>
                <w:numId w:val="8"/>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Develop briefing notes to support high-level stakeholder by-in and adoption</w:t>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Submit a final Finance Strategy Document (both clean and tracked version)</w:t>
            </w:r>
          </w:p>
        </w:tc>
        <w:tc>
          <w:tcPr>
            <w:tcBorders>
              <w:top w:color="000000" w:space="0" w:sz="4" w:val="single"/>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89">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7</w:t>
            </w:r>
            <w:r w:rsidDel="00000000" w:rsidR="00000000" w:rsidRPr="00000000">
              <w:rPr>
                <w:rFonts w:ascii="Open Sans" w:cs="Open Sans" w:eastAsia="Open Sans" w:hAnsi="Open Sans"/>
                <w:sz w:val="24"/>
                <w:szCs w:val="24"/>
                <w:rtl w:val="0"/>
              </w:rPr>
              <w:t xml:space="preserve"> </w:t>
            </w:r>
            <w:r w:rsidDel="00000000" w:rsidR="00000000" w:rsidRPr="00000000">
              <w:rPr>
                <w:rtl w:val="0"/>
              </w:rPr>
            </w:r>
          </w:p>
        </w:tc>
      </w:tr>
    </w:tbl>
    <w:p w:rsidR="00000000" w:rsidDel="00000000" w:rsidP="00000000" w:rsidRDefault="00000000" w:rsidRPr="00000000" w14:paraId="0000008A">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B">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Kano State</w:t>
      </w:r>
    </w:p>
    <w:tbl>
      <w:tblPr>
        <w:tblStyle w:val="Table2"/>
        <w:tblW w:w="9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2790"/>
        <w:tblGridChange w:id="0">
          <w:tblGrid>
            <w:gridCol w:w="7015"/>
            <w:gridCol w:w="2790"/>
          </w:tblGrid>
        </w:tblGridChange>
      </w:tblGrid>
      <w:tr>
        <w:trPr>
          <w:cantSplit w:val="0"/>
          <w:trHeight w:val="799" w:hRule="atLeast"/>
          <w:tblHeader w:val="1"/>
        </w:trPr>
        <w:tc>
          <w:tcPr>
            <w:shd w:fill="ffffff" w:val="clear"/>
            <w:tcMar>
              <w:top w:w="184.0" w:type="dxa"/>
              <w:left w:w="184.0" w:type="dxa"/>
              <w:bottom w:w="184.0" w:type="dxa"/>
              <w:right w:w="184.0" w:type="dxa"/>
            </w:tcMar>
            <w:vAlign w:val="center"/>
          </w:tcPr>
          <w:p w:rsidR="00000000" w:rsidDel="00000000" w:rsidP="00000000" w:rsidRDefault="00000000" w:rsidRPr="00000000" w14:paraId="0000008C">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Deliverable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8D">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Timeline </w:t>
            </w:r>
          </w:p>
          <w:p w:rsidR="00000000" w:rsidDel="00000000" w:rsidP="00000000" w:rsidRDefault="00000000" w:rsidRPr="00000000" w14:paraId="0000008E">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(7 weeks)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8F">
            <w:pPr>
              <w:spacing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desk Review and Situation Analysis (produce high quality report)</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90">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1</w:t>
            </w:r>
            <w:r w:rsidDel="00000000" w:rsidR="00000000" w:rsidRPr="00000000">
              <w:rPr>
                <w:rFonts w:ascii="Open Sans" w:cs="Open Sans" w:eastAsia="Open Sans" w:hAnsi="Open Sans"/>
                <w:sz w:val="24"/>
                <w:szCs w:val="24"/>
                <w:rtl w:val="0"/>
              </w:rPr>
              <w:br w:type="textWrapping"/>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Conduct consultations with key stakeholders: government ministries, local authorities, development partners, civil society organisations, and community representatives.</w:t>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Facilitate a joint consultative workshop to gather and document stakeholder perspectives and consensus on Finance Strategy priorities.</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Open Sans" w:cs="Open Sans" w:eastAsia="Open Sans" w:hAnsi="Open Sans"/>
                <w:b w:val="1"/>
                <w:bCs w:val="1"/>
                <w:color w:val="000000"/>
                <w:sz w:val="24"/>
                <w:szCs w:val="24"/>
              </w:rPr>
            </w:pPr>
            <w:r w:rsidDel="00000000" w:rsidR="00000000" w:rsidRPr="00000000">
              <w:rPr>
                <w:rtl w:val="0"/>
              </w:rPr>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94">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2 </w:t>
            </w:r>
            <w:r w:rsidDel="00000000" w:rsidR="00000000" w:rsidRPr="00000000">
              <w:rPr>
                <w:rFonts w:ascii="Open Sans" w:cs="Open Sans" w:eastAsia="Open Sans" w:hAnsi="Open Sans"/>
                <w:sz w:val="24"/>
                <w:szCs w:val="24"/>
                <w:rtl w:val="0"/>
              </w:rPr>
              <w:t xml:space="preserve"> </w:t>
            </w: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9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Life Cycle Cost Analysis </w:t>
            </w:r>
          </w:p>
        </w:tc>
        <w:tc>
          <w:tcPr>
            <w:tcBorders>
              <w:top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96">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3</w:t>
            </w:r>
            <w:r w:rsidDel="00000000" w:rsidR="00000000" w:rsidRPr="00000000">
              <w:rPr>
                <w:rFonts w:ascii="Open Sans" w:cs="Open Sans" w:eastAsia="Open Sans" w:hAnsi="Open Sans"/>
                <w:sz w:val="24"/>
                <w:szCs w:val="24"/>
                <w:rtl w:val="0"/>
              </w:rPr>
              <w:t xml:space="preserve">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9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Develop a draft finance strategy for Kano State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98">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4</w:t>
            </w:r>
            <w:r w:rsidDel="00000000" w:rsidR="00000000" w:rsidRPr="00000000">
              <w:rPr>
                <w:rFonts w:ascii="Open Sans" w:cs="Open Sans" w:eastAsia="Open Sans" w:hAnsi="Open Sans"/>
                <w:sz w:val="24"/>
                <w:szCs w:val="24"/>
                <w:rtl w:val="0"/>
              </w:rPr>
              <w:t xml:space="preserve">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9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Presentation and review of the draft Financial Strategy in Kano State (</w:t>
            </w:r>
            <w:r w:rsidDel="00000000" w:rsidR="00000000" w:rsidRPr="00000000">
              <w:rPr>
                <w:rFonts w:ascii="Open Sans" w:cs="Open Sans" w:eastAsia="Open Sans" w:hAnsi="Open Sans"/>
                <w:color w:val="000000"/>
                <w:sz w:val="24"/>
                <w:szCs w:val="24"/>
                <w:rtl w:val="0"/>
              </w:rPr>
              <w:t xml:space="preserve">Incorporate feedback from stakeholders after the workshop) </w:t>
            </w:r>
            <w:r w:rsidDel="00000000" w:rsidR="00000000" w:rsidRPr="00000000">
              <w:rPr>
                <w:rtl w:val="0"/>
              </w:rPr>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9A">
            <w:pPr>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5</w:t>
            </w: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Finalisation/validation of the finance strategy. (Incorporate final feedback and produce a final, endorsed version).</w:t>
            </w:r>
          </w:p>
          <w:p w:rsidR="00000000" w:rsidDel="00000000" w:rsidP="00000000" w:rsidRDefault="00000000" w:rsidRPr="00000000" w14:paraId="0000009C">
            <w:pPr>
              <w:rPr>
                <w:rFonts w:ascii="Open Sans" w:cs="Open Sans" w:eastAsia="Open Sans" w:hAnsi="Open Sans"/>
                <w:sz w:val="24"/>
                <w:szCs w:val="24"/>
              </w:rPr>
            </w:pPr>
            <w:r w:rsidDel="00000000" w:rsidR="00000000" w:rsidRPr="00000000">
              <w:rPr>
                <w:rtl w:val="0"/>
              </w:rPr>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9D">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6</w:t>
            </w:r>
            <w:r w:rsidDel="00000000" w:rsidR="00000000" w:rsidRPr="00000000">
              <w:rPr>
                <w:rFonts w:ascii="Open Sans" w:cs="Open Sans" w:eastAsia="Open Sans" w:hAnsi="Open Sans"/>
                <w:sz w:val="24"/>
                <w:szCs w:val="24"/>
                <w:rtl w:val="0"/>
              </w:rPr>
              <w:t xml:space="preserve">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Review and address post workshop feedback from State, National and Global Stakeholders/Partners</w:t>
            </w:r>
          </w:p>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Develop briefing notes to support high-level stakeholder by-in and adoption</w:t>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Submit a final Finance Strategy Document (both clean and tracked version)</w:t>
            </w:r>
          </w:p>
        </w:tc>
        <w:tc>
          <w:tcPr>
            <w:tcBorders>
              <w:top w:color="000000" w:space="0" w:sz="4" w:val="single"/>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A1">
            <w:pPr>
              <w:jc w:val="left"/>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Week 7</w:t>
            </w:r>
            <w:r w:rsidDel="00000000" w:rsidR="00000000" w:rsidRPr="00000000">
              <w:rPr>
                <w:rFonts w:ascii="Open Sans" w:cs="Open Sans" w:eastAsia="Open Sans" w:hAnsi="Open Sans"/>
                <w:sz w:val="24"/>
                <w:szCs w:val="24"/>
                <w:rtl w:val="0"/>
              </w:rPr>
              <w:t xml:space="preserve"> </w:t>
            </w:r>
            <w:r w:rsidDel="00000000" w:rsidR="00000000" w:rsidRPr="00000000">
              <w:rPr>
                <w:rtl w:val="0"/>
              </w:rPr>
            </w:r>
          </w:p>
        </w:tc>
      </w:tr>
    </w:tbl>
    <w:p w:rsidR="00000000" w:rsidDel="00000000" w:rsidP="00000000" w:rsidRDefault="00000000" w:rsidRPr="00000000" w14:paraId="000000A2">
      <w:pPr>
        <w:pStyle w:val="Heading2"/>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3">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Total Duration of Contract</w:t>
      </w:r>
    </w:p>
    <w:p w:rsidR="00000000" w:rsidDel="00000000" w:rsidP="00000000" w:rsidRDefault="00000000" w:rsidRPr="00000000" w14:paraId="000000A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Fourteen weeks (with a possible 1-week buffer for feedback and final adjustments)</w:t>
      </w:r>
    </w:p>
    <w:p w:rsidR="00000000" w:rsidDel="00000000" w:rsidP="00000000" w:rsidRDefault="00000000" w:rsidRPr="00000000" w14:paraId="000000A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Consultant Qualifications and Requirements</w:t>
      </w:r>
    </w:p>
    <w:p w:rsidR="00000000" w:rsidDel="00000000" w:rsidP="00000000" w:rsidRDefault="00000000" w:rsidRPr="00000000" w14:paraId="000000A7">
      <w:pPr>
        <w:rPr>
          <w:rFonts w:ascii="Open Sans" w:cs="Open Sans" w:eastAsia="Open Sans" w:hAnsi="Open Sans"/>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6815"/>
        <w:tblGridChange w:id="0">
          <w:tblGrid>
            <w:gridCol w:w="2535"/>
            <w:gridCol w:w="6815"/>
          </w:tblGrid>
        </w:tblGridChange>
      </w:tblGrid>
      <w:tr>
        <w:trPr>
          <w:cantSplit w:val="0"/>
          <w:tblHeader w:val="1"/>
        </w:trPr>
        <w:tc>
          <w:tcPr>
            <w:tcMar>
              <w:top w:w="184.0" w:type="dxa"/>
              <w:left w:w="184.0" w:type="dxa"/>
              <w:bottom w:w="184.0" w:type="dxa"/>
              <w:right w:w="184.0" w:type="dxa"/>
            </w:tcMar>
            <w:vAlign w:val="center"/>
          </w:tcPr>
          <w:p w:rsidR="00000000" w:rsidDel="00000000" w:rsidP="00000000" w:rsidRDefault="00000000" w:rsidRPr="00000000" w14:paraId="000000A8">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Required Criteria</w:t>
            </w:r>
          </w:p>
        </w:tc>
        <w:tc>
          <w:tcPr>
            <w:tcMar>
              <w:top w:w="184.0" w:type="dxa"/>
              <w:left w:w="184.0" w:type="dxa"/>
              <w:bottom w:w="184.0" w:type="dxa"/>
              <w:right w:w="184.0" w:type="dxa"/>
            </w:tcMar>
            <w:vAlign w:val="center"/>
          </w:tcPr>
          <w:p w:rsidR="00000000" w:rsidDel="00000000" w:rsidP="00000000" w:rsidRDefault="00000000" w:rsidRPr="00000000" w14:paraId="000000A9">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Description</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AA">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Academic Qualification</w:t>
            </w:r>
          </w:p>
        </w:tc>
        <w:tc>
          <w:tcPr>
            <w:tcMar>
              <w:top w:w="184.0" w:type="dxa"/>
              <w:left w:w="184.0" w:type="dxa"/>
              <w:bottom w:w="184.0" w:type="dxa"/>
              <w:right w:w="184.0" w:type="dxa"/>
            </w:tcMar>
            <w:vAlign w:val="center"/>
          </w:tcPr>
          <w:p w:rsidR="00000000" w:rsidDel="00000000" w:rsidP="00000000" w:rsidRDefault="00000000" w:rsidRPr="00000000" w14:paraId="000000A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Minimum master’s degree in public policy, WASH Governance, Water Economics, Development Studies, Public Finance, Social Sciences, or related fields</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AC">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Experience</w:t>
            </w:r>
          </w:p>
        </w:tc>
        <w:tc>
          <w:tcPr>
            <w:tcMar>
              <w:top w:w="184.0" w:type="dxa"/>
              <w:left w:w="184.0" w:type="dxa"/>
              <w:bottom w:w="184.0" w:type="dxa"/>
              <w:right w:w="184.0" w:type="dxa"/>
            </w:tcMar>
            <w:vAlign w:val="center"/>
          </w:tcPr>
          <w:p w:rsidR="00000000" w:rsidDel="00000000" w:rsidP="00000000" w:rsidRDefault="00000000" w:rsidRPr="00000000" w14:paraId="000000A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At least 8 years’ experience in WASH finance strategy development, WASH governance, and institutional strengthening</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AE">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Previous Assignments</w:t>
            </w:r>
          </w:p>
        </w:tc>
        <w:tc>
          <w:tcPr>
            <w:tcMar>
              <w:top w:w="184.0" w:type="dxa"/>
              <w:left w:w="184.0" w:type="dxa"/>
              <w:bottom w:w="184.0" w:type="dxa"/>
              <w:right w:w="184.0" w:type="dxa"/>
            </w:tcMar>
            <w:vAlign w:val="center"/>
          </w:tcPr>
          <w:p w:rsidR="00000000" w:rsidDel="00000000" w:rsidP="00000000" w:rsidRDefault="00000000" w:rsidRPr="00000000" w14:paraId="000000A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Proven track record of leading or supporting similar assignments at the state or national level</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B0">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Technical Expertise</w:t>
            </w:r>
          </w:p>
        </w:tc>
        <w:tc>
          <w:tcPr>
            <w:tcMar>
              <w:top w:w="184.0" w:type="dxa"/>
              <w:left w:w="184.0" w:type="dxa"/>
              <w:bottom w:w="184.0" w:type="dxa"/>
              <w:right w:w="184.0" w:type="dxa"/>
            </w:tcMar>
            <w:vAlign w:val="center"/>
          </w:tcPr>
          <w:p w:rsidR="00000000" w:rsidDel="00000000" w:rsidP="00000000" w:rsidRDefault="00000000" w:rsidRPr="00000000" w14:paraId="000000B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Strong knowledge of WASH finance systems strengthening, life-cycle costing, and stakeholder facilitation</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B2">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Skills</w:t>
            </w:r>
          </w:p>
        </w:tc>
        <w:tc>
          <w:tcPr>
            <w:tcMar>
              <w:top w:w="184.0" w:type="dxa"/>
              <w:left w:w="184.0" w:type="dxa"/>
              <w:bottom w:w="184.0" w:type="dxa"/>
              <w:right w:w="184.0" w:type="dxa"/>
            </w:tcMar>
            <w:vAlign w:val="center"/>
          </w:tcPr>
          <w:p w:rsidR="00000000" w:rsidDel="00000000" w:rsidP="00000000" w:rsidRDefault="00000000" w:rsidRPr="00000000" w14:paraId="000000B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Excellent writing, editing, and presentation skills, as well as the ability to work with diverse stakeholders</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B4">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Familiarity with Nigerian Context</w:t>
            </w:r>
          </w:p>
        </w:tc>
        <w:tc>
          <w:tcPr>
            <w:tcMar>
              <w:top w:w="184.0" w:type="dxa"/>
              <w:left w:w="184.0" w:type="dxa"/>
              <w:bottom w:w="184.0" w:type="dxa"/>
              <w:right w:w="184.0" w:type="dxa"/>
            </w:tcMar>
            <w:vAlign w:val="center"/>
          </w:tcPr>
          <w:p w:rsidR="00000000" w:rsidDel="00000000" w:rsidP="00000000" w:rsidRDefault="00000000" w:rsidRPr="00000000" w14:paraId="000000B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Prior experience with national and state-level WASH system strengthening processes in Nigeria is highly desirable</w:t>
            </w:r>
          </w:p>
        </w:tc>
      </w:tr>
    </w:tbl>
    <w:p w:rsidR="00000000" w:rsidDel="00000000" w:rsidP="00000000" w:rsidRDefault="00000000" w:rsidRPr="00000000" w14:paraId="000000B6">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 per the terms of the contract, the consultant will be expected to adhere to SHA standards for safeguarding, social responsibility, human rights and will be provided with copies of relevant policy documents (Child Protection, Gender Equality, Whistleblower Protection, Sexual Harassment and Sexual Exploitation Policy).</w:t>
      </w:r>
    </w:p>
    <w:p w:rsidR="00000000" w:rsidDel="00000000" w:rsidP="00000000" w:rsidRDefault="00000000" w:rsidRPr="00000000" w14:paraId="000000B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9">
      <w:pPr>
        <w:pStyle w:val="Heading2"/>
        <w:numPr>
          <w:ilvl w:val="0"/>
          <w:numId w:val="9"/>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Safeguarding: </w:t>
      </w:r>
    </w:p>
    <w:p w:rsidR="00000000" w:rsidDel="00000000" w:rsidP="00000000" w:rsidRDefault="00000000" w:rsidRPr="00000000" w14:paraId="000000B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Everyone has a role in creating and sustaining a safe and respectful working environment, where no one is harmed or maltreated. At SHA, we take our responsibilities very seriously and will act against wrongdoing. We will do everything we can to ensure that we do not engage people who pose a safeguarding risk and will undertake criminal record checks as required. We welcome applications from all suitably qualified individuals. We encourage and facilitate a flexible working environment. Data collected through this engagement will not be used for any purpose other than the anticipated purpose in this arrangement. </w:t>
      </w:r>
    </w:p>
    <w:p w:rsidR="00000000" w:rsidDel="00000000" w:rsidP="00000000" w:rsidRDefault="00000000" w:rsidRPr="00000000" w14:paraId="000000B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C">
      <w:pPr>
        <w:pStyle w:val="Heading2"/>
        <w:numPr>
          <w:ilvl w:val="0"/>
          <w:numId w:val="9"/>
        </w:numPr>
        <w:ind w:left="720" w:hanging="360"/>
        <w:rPr>
          <w:rFonts w:ascii="Open Sans" w:cs="Open Sans" w:eastAsia="Open Sans" w:hAnsi="Open Sans"/>
          <w:sz w:val="24"/>
          <w:szCs w:val="24"/>
        </w:rPr>
      </w:pPr>
      <w:bookmarkStart w:colFirst="0" w:colLast="0" w:name="_heading=h.szpdz0btokey" w:id="2"/>
      <w:bookmarkEnd w:id="2"/>
      <w:r w:rsidDel="00000000" w:rsidR="00000000" w:rsidRPr="00000000">
        <w:rPr>
          <w:rFonts w:ascii="Open Sans" w:cs="Open Sans" w:eastAsia="Open Sans" w:hAnsi="Open Sans"/>
          <w:sz w:val="24"/>
          <w:szCs w:val="24"/>
          <w:rtl w:val="0"/>
        </w:rPr>
        <w:t xml:space="preserve">Our Values</w:t>
      </w:r>
    </w:p>
    <w:p w:rsidR="00000000" w:rsidDel="00000000" w:rsidP="00000000" w:rsidRDefault="00000000" w:rsidRPr="00000000" w14:paraId="000000B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At SHA, our values are impact, innovation and community.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Impact:</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 are accountable, ambitious and committed to systems change.</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Innovation:</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 are agile, creative and enterprising in an ever-changing world.</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Community: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 are inclusive, honest and have integrity in our relationships.</w:t>
      </w:r>
    </w:p>
    <w:p w:rsidR="00000000" w:rsidDel="00000000" w:rsidP="00000000" w:rsidRDefault="00000000" w:rsidRPr="00000000" w14:paraId="000000C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C2">
      <w:pPr>
        <w:pStyle w:val="Heading2"/>
        <w:rPr>
          <w:rFonts w:ascii="Open Sans" w:cs="Open Sans" w:eastAsia="Open Sans" w:hAnsi="Open Sans"/>
          <w:b w:val="0"/>
          <w:bCs w:val="0"/>
          <w:sz w:val="24"/>
          <w:szCs w:val="24"/>
        </w:rPr>
      </w:pPr>
      <w:r w:rsidDel="00000000" w:rsidR="00000000" w:rsidRPr="00000000">
        <w:rPr>
          <w:rFonts w:ascii="Open Sans" w:cs="Open Sans" w:eastAsia="Open Sans" w:hAnsi="Open Sans"/>
          <w:sz w:val="24"/>
          <w:szCs w:val="24"/>
          <w:rtl w:val="0"/>
        </w:rPr>
        <w:t xml:space="preserve">How to apply:</w:t>
      </w:r>
      <w:r w:rsidDel="00000000" w:rsidR="00000000" w:rsidRPr="00000000">
        <w:rPr>
          <w:rtl w:val="0"/>
        </w:rPr>
      </w:r>
    </w:p>
    <w:p w:rsidR="00000000" w:rsidDel="00000000" w:rsidP="00000000" w:rsidRDefault="00000000" w:rsidRPr="00000000" w14:paraId="000000C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Suitably qualified individuals with the required knowledge, expertise and skills should apply by sending a proposal with the following requirements via email to </w:t>
      </w:r>
      <w:hyperlink r:id="rId7">
        <w:r w:rsidDel="00000000" w:rsidR="00000000" w:rsidRPr="00000000">
          <w:rPr>
            <w:rFonts w:ascii="Open Sans" w:cs="Open Sans" w:eastAsia="Open Sans" w:hAnsi="Open Sans"/>
            <w:color w:val="0563c1"/>
            <w:sz w:val="24"/>
            <w:szCs w:val="24"/>
            <w:u w:val="single"/>
            <w:rtl w:val="0"/>
          </w:rPr>
          <w:t xml:space="preserve">procurement.ng@selfhelpafrica.org</w:t>
        </w:r>
      </w:hyperlink>
      <w:r w:rsidDel="00000000" w:rsidR="00000000" w:rsidRPr="00000000">
        <w:rPr>
          <w:rFonts w:ascii="Open Sans" w:cs="Open Sans" w:eastAsia="Open Sans" w:hAnsi="Open Sans"/>
          <w:color w:val="0000ff"/>
          <w:sz w:val="24"/>
          <w:szCs w:val="24"/>
          <w:u w:val="single"/>
          <w:rtl w:val="0"/>
        </w:rPr>
        <w:t xml:space="preserve"> </w:t>
      </w:r>
      <w:r w:rsidDel="00000000" w:rsidR="00000000" w:rsidRPr="00000000">
        <w:rPr>
          <w:rFonts w:ascii="Open Sans" w:cs="Open Sans" w:eastAsia="Open Sans" w:hAnsi="Open Sans"/>
          <w:sz w:val="24"/>
          <w:szCs w:val="24"/>
          <w:rtl w:val="0"/>
        </w:rPr>
        <w:t xml:space="preserve">on or before 13</w:t>
      </w:r>
      <w:r w:rsidDel="00000000" w:rsidR="00000000" w:rsidRPr="00000000">
        <w:rPr>
          <w:rFonts w:ascii="Open Sans" w:cs="Open Sans" w:eastAsia="Open Sans" w:hAnsi="Open Sans"/>
          <w:sz w:val="24"/>
          <w:szCs w:val="24"/>
          <w:vertAlign w:val="superscript"/>
          <w:rtl w:val="0"/>
        </w:rPr>
        <w:t xml:space="preserve">th</w:t>
      </w:r>
      <w:r w:rsidDel="00000000" w:rsidR="00000000" w:rsidRPr="00000000">
        <w:rPr>
          <w:rFonts w:ascii="Open Sans" w:cs="Open Sans" w:eastAsia="Open Sans" w:hAnsi="Open Sans"/>
          <w:sz w:val="24"/>
          <w:szCs w:val="24"/>
          <w:rtl w:val="0"/>
        </w:rPr>
        <w:t xml:space="preserve"> January 2026.</w:t>
      </w:r>
    </w:p>
    <w:p w:rsidR="00000000" w:rsidDel="00000000" w:rsidP="00000000" w:rsidRDefault="00000000" w:rsidRPr="00000000" w14:paraId="000000C4">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detailed proposal of the consultancy (not more than 10 pages), including how you meet the criteria, proposed approach and work plan. </w:t>
      </w:r>
    </w:p>
    <w:p w:rsidR="00000000" w:rsidDel="00000000" w:rsidP="00000000" w:rsidRDefault="00000000" w:rsidRPr="00000000" w14:paraId="000000C5">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technical and financial proposal, stating the technical specifications and budget as per this ToR. </w:t>
      </w:r>
    </w:p>
    <w:p w:rsidR="00000000" w:rsidDel="00000000" w:rsidP="00000000" w:rsidRDefault="00000000" w:rsidRPr="00000000" w14:paraId="000000C6">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 electronic copy of a curriculum vitae, including references to places/organisations where similar work was carried out.</w:t>
      </w:r>
    </w:p>
    <w:p w:rsidR="00000000" w:rsidDel="00000000" w:rsidP="00000000" w:rsidRDefault="00000000" w:rsidRPr="00000000" w14:paraId="000000C7">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Evidence of financial capability to pre-finance 40 per cent of the total assignment cost.</w:t>
      </w:r>
    </w:p>
    <w:p w:rsidR="00000000" w:rsidDel="00000000" w:rsidP="00000000" w:rsidRDefault="00000000" w:rsidRPr="00000000" w14:paraId="000000C8">
      <w:pPr>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Applicants from Nigeria are encouraged to apply</w:t>
      </w:r>
      <w:r w:rsidDel="00000000" w:rsidR="00000000" w:rsidRPr="00000000">
        <w:rPr>
          <w:rFonts w:ascii="Open Sans" w:cs="Open Sans" w:eastAsia="Open Sans" w:hAnsi="Open Sans"/>
          <w:sz w:val="24"/>
          <w:szCs w:val="24"/>
          <w:rtl w:val="0"/>
        </w:rPr>
        <w:t xml:space="preserve">. Otherwise, applicants outside Nigeria must be authorised to work in Nigeria. </w:t>
      </w:r>
    </w:p>
    <w:p w:rsidR="00000000" w:rsidDel="00000000" w:rsidP="00000000" w:rsidRDefault="00000000" w:rsidRPr="00000000" w14:paraId="000000C9">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CA">
      <w:pPr>
        <w:pStyle w:val="Heading2"/>
        <w:rPr>
          <w:rFonts w:ascii="Open Sans" w:cs="Open Sans" w:eastAsia="Open Sans" w:hAnsi="Open Sans"/>
          <w:b w:val="0"/>
          <w:bCs w:val="0"/>
          <w:sz w:val="24"/>
          <w:szCs w:val="24"/>
        </w:rPr>
      </w:pPr>
      <w:r w:rsidDel="00000000" w:rsidR="00000000" w:rsidRPr="00000000">
        <w:rPr>
          <w:rFonts w:ascii="Open Sans" w:cs="Open Sans" w:eastAsia="Open Sans" w:hAnsi="Open Sans"/>
          <w:sz w:val="24"/>
          <w:szCs w:val="24"/>
          <w:rtl w:val="0"/>
        </w:rPr>
        <w:t xml:space="preserve">Selection Process:</w:t>
      </w:r>
      <w:r w:rsidDel="00000000" w:rsidR="00000000" w:rsidRPr="00000000">
        <w:rPr>
          <w:rtl w:val="0"/>
        </w:rPr>
      </w:r>
    </w:p>
    <w:p w:rsidR="00000000" w:rsidDel="00000000" w:rsidP="00000000" w:rsidRDefault="00000000" w:rsidRPr="00000000" w14:paraId="000000C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SHA’s selection process includes rigorous background checks that reflect our organisational integrity and commitment to making humanitarian action more principled and effective.</w:t>
      </w:r>
    </w:p>
    <w:p w:rsidR="00000000" w:rsidDel="00000000" w:rsidP="00000000" w:rsidRDefault="00000000" w:rsidRPr="00000000" w14:paraId="000000CC">
      <w:pPr>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The Consultant's proposal will be assessed on technical merit, additional value and services offered, relevant experience, value for money, lead time and price.</w:t>
      </w:r>
    </w:p>
    <w:p w:rsidR="00000000" w:rsidDel="00000000" w:rsidP="00000000" w:rsidRDefault="00000000" w:rsidRPr="00000000" w14:paraId="000000CD">
      <w:pPr>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This work cannot be subcontracted, and the client must agree to any changes in writing.</w:t>
      </w:r>
    </w:p>
    <w:p w:rsidR="00000000" w:rsidDel="00000000" w:rsidP="00000000" w:rsidRDefault="00000000" w:rsidRPr="00000000" w14:paraId="000000C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consultant will report to the Senior Policy and Governance Advisor for the WASH Systems for Health Programme. </w:t>
      </w:r>
    </w:p>
    <w:p w:rsidR="00000000" w:rsidDel="00000000" w:rsidP="00000000" w:rsidRDefault="00000000" w:rsidRPr="00000000" w14:paraId="000000C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Only shortlisted consultants will be contacted.</w:t>
      </w:r>
    </w:p>
    <w:sectPr>
      <w:headerReference r:id="rId8" w:type="default"/>
      <w:headerReference r:id="rId9" w:type="first"/>
      <w:footerReference r:id="rId10"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smallCaps w:val="1"/>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smallCaps w:val="1"/>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smallCaps w:val="1"/>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tabs>
        <w:tab w:val="center" w:leader="none" w:pos="4680"/>
        <w:tab w:val="right" w:leader="none" w:pos="9360"/>
      </w:tabs>
      <w:jc w:val="center"/>
      <w:rPr>
        <w:rFonts w:ascii="Times New Roman" w:cs="Times New Roman" w:eastAsia="Times New Roman" w:hAnsi="Times New Roman"/>
        <w:smallCaps w:val="1"/>
        <w:sz w:val="22"/>
        <w:szCs w:val="22"/>
      </w:rPr>
    </w:pPr>
    <w:r w:rsidDel="00000000" w:rsidR="00000000" w:rsidRPr="00000000">
      <w:rPr>
        <w:rFonts w:ascii="Times New Roman" w:cs="Times New Roman" w:eastAsia="Times New Roman" w:hAnsi="Times New Roman"/>
        <w:smallCaps w:val="1"/>
        <w:sz w:val="22"/>
        <w:szCs w:val="22"/>
      </w:rPr>
      <w:drawing>
        <wp:inline distB="0" distT="0" distL="0" distR="0">
          <wp:extent cx="2039495" cy="85248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9495"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abstractNum w:abstractNumId="4">
    <w:lvl w:ilvl="0">
      <w:start w:val="1"/>
      <w:numFmt w:val="upp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7"/>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6"/>
        <w:szCs w:val="26"/>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b w:val="1"/>
      <w:bCs w:val="1"/>
      <w:color w:val="000000"/>
      <w:sz w:val="28"/>
      <w:szCs w:val="28"/>
    </w:rPr>
  </w:style>
  <w:style w:type="paragraph" w:styleId="Heading3">
    <w:name w:val="heading 3"/>
    <w:basedOn w:val="Normal"/>
    <w:next w:val="Normal"/>
    <w:pPr>
      <w:keepNext w:val="1"/>
      <w:keepLines w:val="1"/>
      <w:spacing w:before="40" w:lineRule="auto"/>
    </w:pPr>
    <w:rPr>
      <w:color w:val="1f3863"/>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BalloonText">
    <w:name w:val="Balloon Text"/>
    <w:basedOn w:val="Normal"/>
    <w:link w:val="BalloonTextChar"/>
    <w:uiPriority w:val="99"/>
    <w:semiHidden w:val="1"/>
    <w:unhideWhenUsed w:val="1"/>
    <w:rsid w:val="00616CF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16CF1"/>
    <w:rPr>
      <w:rFonts w:ascii="Tahoma" w:cs="Tahoma" w:hAnsi="Tahoma"/>
      <w:sz w:val="16"/>
      <w:szCs w:val="16"/>
    </w:rPr>
  </w:style>
  <w:style w:type="paragraph" w:styleId="Header">
    <w:name w:val="header"/>
    <w:basedOn w:val="Normal"/>
    <w:link w:val="HeaderChar"/>
    <w:uiPriority w:val="99"/>
    <w:unhideWhenUsed w:val="1"/>
    <w:rsid w:val="00BE7EF4"/>
    <w:pPr>
      <w:tabs>
        <w:tab w:val="center" w:pos="4513"/>
        <w:tab w:val="right" w:pos="9026"/>
      </w:tabs>
    </w:pPr>
  </w:style>
  <w:style w:type="character" w:styleId="HeaderChar" w:customStyle="1">
    <w:name w:val="Header Char"/>
    <w:basedOn w:val="DefaultParagraphFont"/>
    <w:link w:val="Header"/>
    <w:uiPriority w:val="99"/>
    <w:rsid w:val="00BE7EF4"/>
  </w:style>
  <w:style w:type="paragraph" w:styleId="Footer">
    <w:name w:val="footer"/>
    <w:basedOn w:val="Normal"/>
    <w:link w:val="FooterChar"/>
    <w:uiPriority w:val="99"/>
    <w:unhideWhenUsed w:val="1"/>
    <w:rsid w:val="00BE7EF4"/>
    <w:pPr>
      <w:tabs>
        <w:tab w:val="center" w:pos="4513"/>
        <w:tab w:val="right" w:pos="9026"/>
      </w:tabs>
    </w:pPr>
  </w:style>
  <w:style w:type="character" w:styleId="FooterChar" w:customStyle="1">
    <w:name w:val="Footer Char"/>
    <w:basedOn w:val="DefaultParagraphFont"/>
    <w:link w:val="Footer"/>
    <w:uiPriority w:val="99"/>
    <w:rsid w:val="00BE7EF4"/>
  </w:style>
  <w:style w:type="character" w:styleId="CommentReference">
    <w:name w:val="annotation reference"/>
    <w:basedOn w:val="DefaultParagraphFont"/>
    <w:uiPriority w:val="99"/>
    <w:semiHidden w:val="1"/>
    <w:unhideWhenUsed w:val="1"/>
    <w:rsid w:val="007F5AA9"/>
    <w:rPr>
      <w:sz w:val="16"/>
      <w:szCs w:val="16"/>
    </w:rPr>
  </w:style>
  <w:style w:type="paragraph" w:styleId="CommentText">
    <w:name w:val="annotation text"/>
    <w:basedOn w:val="Normal"/>
    <w:link w:val="CommentTextChar"/>
    <w:uiPriority w:val="99"/>
    <w:unhideWhenUsed w:val="1"/>
    <w:rsid w:val="007F5AA9"/>
    <w:rPr>
      <w:sz w:val="20"/>
      <w:szCs w:val="20"/>
    </w:rPr>
  </w:style>
  <w:style w:type="character" w:styleId="CommentTextChar" w:customStyle="1">
    <w:name w:val="Comment Text Char"/>
    <w:basedOn w:val="DefaultParagraphFont"/>
    <w:link w:val="CommentText"/>
    <w:uiPriority w:val="99"/>
    <w:rsid w:val="007F5AA9"/>
    <w:rPr>
      <w:sz w:val="20"/>
      <w:szCs w:val="20"/>
    </w:rPr>
  </w:style>
  <w:style w:type="paragraph" w:styleId="CommentSubject">
    <w:name w:val="annotation subject"/>
    <w:basedOn w:val="CommentText"/>
    <w:next w:val="CommentText"/>
    <w:link w:val="CommentSubjectChar"/>
    <w:uiPriority w:val="99"/>
    <w:semiHidden w:val="1"/>
    <w:unhideWhenUsed w:val="1"/>
    <w:rsid w:val="007F5AA9"/>
    <w:rPr>
      <w:b w:val="1"/>
      <w:bCs w:val="1"/>
    </w:rPr>
  </w:style>
  <w:style w:type="character" w:styleId="CommentSubjectChar" w:customStyle="1">
    <w:name w:val="Comment Subject Char"/>
    <w:basedOn w:val="CommentTextChar"/>
    <w:link w:val="CommentSubject"/>
    <w:uiPriority w:val="99"/>
    <w:semiHidden w:val="1"/>
    <w:rsid w:val="007F5AA9"/>
    <w:rPr>
      <w:b w:val="1"/>
      <w:bCs w:val="1"/>
      <w:sz w:val="20"/>
      <w:szCs w:val="20"/>
    </w:rPr>
  </w:style>
  <w:style w:type="paragraph" w:styleId="Revision">
    <w:name w:val="Revision"/>
    <w:hidden w:val="1"/>
    <w:uiPriority w:val="99"/>
    <w:semiHidden w:val="1"/>
    <w:rsid w:val="00046D89"/>
    <w:pPr>
      <w:jc w:val="left"/>
    </w:pPr>
  </w:style>
  <w:style w:type="paragraph" w:styleId="ListParagraph">
    <w:name w:val="List Paragraph"/>
    <w:basedOn w:val="Normal"/>
    <w:uiPriority w:val="34"/>
    <w:qFormat w:val="1"/>
    <w:rsid w:val="00870FBD"/>
    <w:pPr>
      <w:ind w:left="720"/>
      <w:contextualSpacing w:val="1"/>
    </w:pPr>
  </w:style>
  <w:style w:type="paragraph" w:styleId="NormalWeb">
    <w:name w:val="Normal (Web)"/>
    <w:basedOn w:val="Normal"/>
    <w:uiPriority w:val="99"/>
    <w:unhideWhenUsed w:val="1"/>
    <w:rsid w:val="00FC7527"/>
    <w:pPr>
      <w:spacing w:after="100" w:afterAutospacing="1" w:before="100" w:beforeAutospacing="1"/>
      <w:jc w:val="left"/>
    </w:pPr>
    <w:rPr>
      <w:rFonts w:ascii="Times New Roman" w:cs="Times New Roman" w:eastAsia="Times New Roman" w:hAnsi="Times New Roman"/>
      <w:sz w:val="24"/>
      <w:szCs w:val="24"/>
      <w:lang w:eastAsia="en-US" w:val="en-US"/>
    </w:rPr>
  </w:style>
  <w:style w:type="character" w:styleId="Strong">
    <w:name w:val="Strong"/>
    <w:basedOn w:val="DefaultParagraphFont"/>
    <w:uiPriority w:val="22"/>
    <w:qFormat w:val="1"/>
    <w:rsid w:val="00F52D2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curement.ng@selfhelpafrica.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z5SL2zDCNcbLTUUQyP3fksg==">CgMxLjAyDmguMTJsMnJ4b2owbjJwMg5oLmlsczdvdXZ5eW1wZTIOaC5zenBkejBidG9rZXk4AHIhMVRSckpWbGpPamdPZUt0VGlrenc1RkhCZjc4WUx4OUtx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2025-11-25T10:24:00Z</dcterms:created>
  <dc:creator>Ferdinand Anok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0x0101006992FF44F30C084FA9DA35F28C2D9CA3</vt:lpwstr>
  </property>
  <property fmtid="{D5CDD505-2E9C-101B-9397-08002B2CF9AE}" pid="3" name="GrammarlyDocumentId">
    <vt:lpwstr>a5dfeae468435f5b970acca8892f1c4d4c79fc25bfc4768662f70c9d98d09eff</vt:lpwstr>
  </property>
  <property fmtid="{D5CDD505-2E9C-101B-9397-08002B2CF9AE}" pid="4" name="MediaServiceImageTags">
    <vt:lpwstr>MediaServiceImageTags</vt:lpwstr>
  </property>
</Properties>
</file>