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47A1" w:rsidRDefault="003257A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Terms of Reference for Review of Fundraising Strategy and Activities Self Help Africa Ireland</w:t>
      </w:r>
    </w:p>
    <w:p w14:paraId="00000002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1. Background:</w:t>
      </w:r>
    </w:p>
    <w:p w14:paraId="00000004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Self Help Africa is an international non-governmental organisation. We aim to alleviate hunger, poverty, social </w:t>
      </w:r>
      <w:proofErr w:type="gramStart"/>
      <w:r>
        <w:rPr>
          <w:sz w:val="24"/>
          <w:szCs w:val="24"/>
        </w:rPr>
        <w:t>inequality</w:t>
      </w:r>
      <w:proofErr w:type="gramEnd"/>
      <w:r>
        <w:rPr>
          <w:sz w:val="24"/>
          <w:szCs w:val="24"/>
        </w:rPr>
        <w:t xml:space="preserve"> and the impact of climate change through community-based, market-led and enterprise focused approaches so that people have access to </w:t>
      </w:r>
      <w:r>
        <w:rPr>
          <w:sz w:val="24"/>
          <w:szCs w:val="24"/>
        </w:rPr>
        <w:t>nutritious food, clean water, decent employment and income, while sustaining natural resources.</w:t>
      </w:r>
    </w:p>
    <w:p w14:paraId="00000005" w14:textId="77777777" w:rsidR="00EF47A1" w:rsidRDefault="00EF47A1">
      <w:pPr>
        <w:jc w:val="both"/>
        <w:rPr>
          <w:sz w:val="24"/>
          <w:szCs w:val="24"/>
        </w:rPr>
      </w:pPr>
    </w:p>
    <w:p w14:paraId="00000006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Established in Ireland, the organisation has a fundraising department that plays a crucial role in supporting the organisation's programmes and initiatives. Ma</w:t>
      </w:r>
      <w:r>
        <w:rPr>
          <w:sz w:val="24"/>
          <w:szCs w:val="24"/>
        </w:rPr>
        <w:t>in fundraising channels include direct marketing campaigns, regular giving, events, corporates and major gifts, and legacy.</w:t>
      </w:r>
    </w:p>
    <w:p w14:paraId="00000007" w14:textId="77777777" w:rsidR="00EF47A1" w:rsidRDefault="00EF47A1">
      <w:pPr>
        <w:jc w:val="both"/>
        <w:rPr>
          <w:sz w:val="24"/>
          <w:szCs w:val="24"/>
        </w:rPr>
      </w:pPr>
    </w:p>
    <w:p w14:paraId="00000008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In 2021 Self Help Africa merged with UK-based United Purpose. In 2023, under a new CEO, the organisation was restructured into four</w:t>
      </w:r>
      <w:r>
        <w:rPr>
          <w:sz w:val="24"/>
          <w:szCs w:val="24"/>
        </w:rPr>
        <w:t xml:space="preserve"> directorates one of which being the Public Engagement Directorate. This change brought together for the first time all our public facing work in Ireland and the UK (fundraising, communications, </w:t>
      </w:r>
      <w:proofErr w:type="gramStart"/>
      <w:r>
        <w:rPr>
          <w:sz w:val="24"/>
          <w:szCs w:val="24"/>
        </w:rPr>
        <w:t>retail</w:t>
      </w:r>
      <w:proofErr w:type="gramEnd"/>
      <w:r>
        <w:rPr>
          <w:sz w:val="24"/>
          <w:szCs w:val="24"/>
        </w:rPr>
        <w:t xml:space="preserve"> and global citizenship education) under the leadership</w:t>
      </w:r>
      <w:r>
        <w:rPr>
          <w:sz w:val="24"/>
          <w:szCs w:val="24"/>
        </w:rPr>
        <w:t xml:space="preserve"> of one director. </w:t>
      </w:r>
    </w:p>
    <w:p w14:paraId="00000009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2. Objectives:</w:t>
      </w:r>
    </w:p>
    <w:p w14:paraId="0000000B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alignment with organisational goals and </w:t>
      </w:r>
      <w:hyperlink r:id="rId5">
        <w:r>
          <w:rPr>
            <w:color w:val="1155CC"/>
            <w:sz w:val="24"/>
            <w:szCs w:val="24"/>
            <w:u w:val="single"/>
          </w:rPr>
          <w:t>strategy</w:t>
        </w:r>
      </w:hyperlink>
    </w:p>
    <w:p w14:paraId="0000000C" w14:textId="77777777" w:rsidR="00EF47A1" w:rsidRDefault="003257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 thorough review of fundraising activities, donors database, </w:t>
      </w:r>
      <w:proofErr w:type="gramStart"/>
      <w:r>
        <w:rPr>
          <w:sz w:val="24"/>
          <w:szCs w:val="24"/>
        </w:rPr>
        <w:t>campaigns</w:t>
      </w:r>
      <w:proofErr w:type="gramEnd"/>
      <w:r>
        <w:rPr>
          <w:sz w:val="24"/>
          <w:szCs w:val="24"/>
        </w:rPr>
        <w:t xml:space="preserve"> and revenue streams </w:t>
      </w:r>
      <w:r>
        <w:rPr>
          <w:sz w:val="24"/>
          <w:szCs w:val="24"/>
        </w:rPr>
        <w:t>(excluding retail).</w:t>
      </w:r>
    </w:p>
    <w:p w14:paraId="0000000D" w14:textId="77777777" w:rsidR="00EF47A1" w:rsidRDefault="003257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Make recommendations for increasing fundraising income in Ireland</w:t>
      </w:r>
    </w:p>
    <w:p w14:paraId="0000000E" w14:textId="77777777" w:rsidR="00EF47A1" w:rsidRDefault="003257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Assess opportunities to maximise the effectiveness and efficiency of the fundraising department in Ireland.</w:t>
      </w:r>
    </w:p>
    <w:p w14:paraId="0000000F" w14:textId="77777777" w:rsidR="00EF47A1" w:rsidRDefault="003257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Identify strengths and areas for potential improvement within </w:t>
      </w:r>
      <w:r>
        <w:rPr>
          <w:sz w:val="24"/>
          <w:szCs w:val="24"/>
        </w:rPr>
        <w:t>the fundraising department.</w:t>
      </w:r>
    </w:p>
    <w:p w14:paraId="00000010" w14:textId="77777777" w:rsidR="00EF47A1" w:rsidRDefault="00EF47A1">
      <w:pPr>
        <w:jc w:val="both"/>
        <w:rPr>
          <w:sz w:val="24"/>
          <w:szCs w:val="24"/>
        </w:rPr>
      </w:pPr>
    </w:p>
    <w:p w14:paraId="00000011" w14:textId="77777777" w:rsidR="00EF47A1" w:rsidRDefault="00EF47A1">
      <w:pPr>
        <w:jc w:val="both"/>
        <w:rPr>
          <w:sz w:val="24"/>
          <w:szCs w:val="24"/>
        </w:rPr>
      </w:pPr>
    </w:p>
    <w:p w14:paraId="00000012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3. Scope of Work:</w:t>
      </w:r>
    </w:p>
    <w:p w14:paraId="00000013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The review will include, but not be limited to:</w:t>
      </w:r>
    </w:p>
    <w:p w14:paraId="00000014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Analysis of current fundraising strategies and activities (excluding retail)</w:t>
      </w:r>
    </w:p>
    <w:p w14:paraId="00000015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Evaluation of fundraising performance against targets and benchmarks for the la</w:t>
      </w:r>
      <w:r>
        <w:rPr>
          <w:sz w:val="24"/>
          <w:szCs w:val="24"/>
        </w:rPr>
        <w:t>st 5 years.</w:t>
      </w:r>
    </w:p>
    <w:p w14:paraId="00000016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Analysis of return on investment by channel</w:t>
      </w:r>
    </w:p>
    <w:p w14:paraId="00000017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Assessment of donor relationships and stewardship practices.</w:t>
      </w:r>
    </w:p>
    <w:p w14:paraId="00000018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Examination of fundraising communication and marketing efforts.</w:t>
      </w:r>
    </w:p>
    <w:p w14:paraId="00000019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Comparison with best practices in fundraising within the INGO secto</w:t>
      </w:r>
      <w:r>
        <w:rPr>
          <w:sz w:val="24"/>
          <w:szCs w:val="24"/>
        </w:rPr>
        <w:t>r.</w:t>
      </w:r>
    </w:p>
    <w:p w14:paraId="0000001A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B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4. Methodology:</w:t>
      </w:r>
    </w:p>
    <w:p w14:paraId="0000001C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The review will involve a combination of methods, including:</w:t>
      </w:r>
    </w:p>
    <w:p w14:paraId="0000001D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Interviews with key stakeholders within the fundraising department.</w:t>
      </w:r>
    </w:p>
    <w:p w14:paraId="0000001E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Analysis of relevant data and reports.</w:t>
      </w:r>
    </w:p>
    <w:p w14:paraId="0000001F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Benchmarking against </w:t>
      </w:r>
      <w:r>
        <w:rPr>
          <w:sz w:val="24"/>
          <w:szCs w:val="24"/>
        </w:rPr>
        <w:t>peer organisations (</w:t>
      </w:r>
      <w:proofErr w:type="spellStart"/>
      <w:r>
        <w:rPr>
          <w:sz w:val="24"/>
          <w:szCs w:val="24"/>
        </w:rPr>
        <w:t>iNGOs</w:t>
      </w:r>
      <w:proofErr w:type="spellEnd"/>
      <w:r>
        <w:rPr>
          <w:sz w:val="24"/>
          <w:szCs w:val="24"/>
        </w:rPr>
        <w:t>).</w:t>
      </w:r>
    </w:p>
    <w:p w14:paraId="00000020" w14:textId="77777777" w:rsidR="00EF47A1" w:rsidRDefault="00EF47A1">
      <w:pPr>
        <w:jc w:val="both"/>
        <w:rPr>
          <w:sz w:val="24"/>
          <w:szCs w:val="24"/>
        </w:rPr>
      </w:pPr>
    </w:p>
    <w:p w14:paraId="00000021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2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5. Deliverables:</w:t>
      </w:r>
    </w:p>
    <w:p w14:paraId="00000023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A comprehensive report, with an executive summary, outlining findings and recommendations. The report will cover the following:</w:t>
      </w:r>
    </w:p>
    <w:p w14:paraId="00000024" w14:textId="77777777" w:rsidR="00EF47A1" w:rsidRDefault="003257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thorough review of fundraising activities, </w:t>
      </w:r>
      <w:proofErr w:type="gramStart"/>
      <w:r>
        <w:rPr>
          <w:sz w:val="24"/>
          <w:szCs w:val="24"/>
        </w:rPr>
        <w:t>donors</w:t>
      </w:r>
      <w:proofErr w:type="gramEnd"/>
      <w:r>
        <w:rPr>
          <w:sz w:val="24"/>
          <w:szCs w:val="24"/>
        </w:rPr>
        <w:t xml:space="preserve"> database, campaigns and re</w:t>
      </w:r>
      <w:r>
        <w:rPr>
          <w:sz w:val="24"/>
          <w:szCs w:val="24"/>
        </w:rPr>
        <w:t>venue streams (excluding retail).</w:t>
      </w:r>
    </w:p>
    <w:p w14:paraId="00000025" w14:textId="77777777" w:rsidR="00EF47A1" w:rsidRDefault="003257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Recommendations for increasing fundraising income in Ireland</w:t>
      </w:r>
    </w:p>
    <w:p w14:paraId="00000026" w14:textId="77777777" w:rsidR="00EF47A1" w:rsidRDefault="003257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Assessment of opportunities to maximise the effectiveness and efficiency of the fundraising department in Ireland.</w:t>
      </w:r>
    </w:p>
    <w:p w14:paraId="00000027" w14:textId="77777777" w:rsidR="00EF47A1" w:rsidRDefault="003257A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Identification of strengths and areas for impr</w:t>
      </w:r>
      <w:r>
        <w:rPr>
          <w:sz w:val="24"/>
          <w:szCs w:val="24"/>
        </w:rPr>
        <w:t>ovement within the fundraising department.</w:t>
      </w:r>
    </w:p>
    <w:p w14:paraId="00000028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Presentation of the report to senior management and key stakeholders.</w:t>
      </w:r>
    </w:p>
    <w:p w14:paraId="00000029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Action plan detailing steps for implementation of recommendations.</w:t>
      </w:r>
    </w:p>
    <w:p w14:paraId="0000002A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- Follow-up support to ensure effective implementation.</w:t>
      </w:r>
    </w:p>
    <w:p w14:paraId="0000002B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6. Timeline:</w:t>
      </w:r>
    </w:p>
    <w:p w14:paraId="0000002D" w14:textId="3E31D4DF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The review is expected to be completed within six working weeks.</w:t>
      </w:r>
    </w:p>
    <w:p w14:paraId="0000002E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F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7. Reporting:</w:t>
      </w:r>
    </w:p>
    <w:p w14:paraId="00000030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The review will be conducted by an external consultant or review team, reporting directly to The Director of Public Engagement. Regular progress updates will be provided to th</w:t>
      </w:r>
      <w:r>
        <w:rPr>
          <w:sz w:val="24"/>
          <w:szCs w:val="24"/>
        </w:rPr>
        <w:t>e designated contact person.</w:t>
      </w:r>
    </w:p>
    <w:p w14:paraId="00000031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2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8. Budget:</w:t>
      </w:r>
    </w:p>
    <w:p w14:paraId="00000033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A budget will be allocated to cover the costs associated with the review, including consultant fees, travel expenses, and any other related costs.</w:t>
      </w:r>
    </w:p>
    <w:p w14:paraId="00000034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5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9. Confidentiality:</w:t>
      </w:r>
    </w:p>
    <w:p w14:paraId="00000036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All information obtained during the review pr</w:t>
      </w:r>
      <w:r>
        <w:rPr>
          <w:sz w:val="24"/>
          <w:szCs w:val="24"/>
        </w:rPr>
        <w:t>ocess will be treated as confidential and handled with the utmost discretion.</w:t>
      </w:r>
    </w:p>
    <w:p w14:paraId="00000037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8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10. Approval:</w:t>
      </w:r>
    </w:p>
    <w:p w14:paraId="00000039" w14:textId="77777777" w:rsidR="00EF47A1" w:rsidRDefault="003257A9">
      <w:pPr>
        <w:jc w:val="both"/>
        <w:rPr>
          <w:sz w:val="24"/>
          <w:szCs w:val="24"/>
        </w:rPr>
      </w:pPr>
      <w:r>
        <w:rPr>
          <w:sz w:val="24"/>
          <w:szCs w:val="24"/>
        </w:rPr>
        <w:t>These terms of reference are subject to approval by the appropriate authorities within Self Help Africa before proceeding with the review.</w:t>
      </w:r>
    </w:p>
    <w:p w14:paraId="0000003A" w14:textId="77777777" w:rsidR="00EF47A1" w:rsidRDefault="00EF47A1"/>
    <w:sectPr w:rsidR="00EF47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60FC"/>
    <w:multiLevelType w:val="multilevel"/>
    <w:tmpl w:val="FD2C0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A1"/>
    <w:rsid w:val="003257A9"/>
    <w:rsid w:val="00E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F759A"/>
  <w15:docId w15:val="{BB722F55-B9A0-3D46-AA33-47E7EA04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lfhelpafrica.org/ie/strategy2023-20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Jacob</cp:lastModifiedBy>
  <cp:revision>2</cp:revision>
  <cp:lastPrinted>2024-06-26T16:09:00Z</cp:lastPrinted>
  <dcterms:created xsi:type="dcterms:W3CDTF">2024-06-26T16:08:00Z</dcterms:created>
  <dcterms:modified xsi:type="dcterms:W3CDTF">2024-06-26T16:10:00Z</dcterms:modified>
</cp:coreProperties>
</file>