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9067" w14:textId="77777777" w:rsidR="00944AEB" w:rsidRPr="00C27128" w:rsidRDefault="00944AEB" w:rsidP="00C27128">
      <w:pPr>
        <w:pStyle w:val="Title"/>
        <w:spacing w:line="276" w:lineRule="auto"/>
        <w:jc w:val="center"/>
        <w:rPr>
          <w:rFonts w:ascii="Arial" w:hAnsi="Arial" w:cs="Arial"/>
          <w:color w:val="92D050"/>
          <w:sz w:val="28"/>
          <w:szCs w:val="28"/>
        </w:rPr>
      </w:pPr>
      <w:r w:rsidRPr="00C27128">
        <w:rPr>
          <w:rFonts w:ascii="Arial" w:hAnsi="Arial" w:cs="Arial"/>
          <w:color w:val="92D050"/>
          <w:sz w:val="28"/>
          <w:szCs w:val="28"/>
        </w:rPr>
        <w:t>Terms of Reference</w:t>
      </w:r>
    </w:p>
    <w:p w14:paraId="0119790B" w14:textId="7EC5B3C7" w:rsidR="00944AEB" w:rsidRPr="00C27128" w:rsidRDefault="00DE6F7F" w:rsidP="00C27128">
      <w:pPr>
        <w:pStyle w:val="Title"/>
        <w:spacing w:line="276" w:lineRule="auto"/>
        <w:jc w:val="center"/>
        <w:rPr>
          <w:rFonts w:ascii="Arial" w:hAnsi="Arial" w:cs="Arial"/>
          <w:bCs/>
          <w:color w:val="92D050"/>
          <w:sz w:val="28"/>
          <w:szCs w:val="28"/>
        </w:rPr>
      </w:pPr>
      <w:r w:rsidRPr="00C27128">
        <w:rPr>
          <w:rFonts w:ascii="Arial" w:hAnsi="Arial" w:cs="Arial"/>
          <w:bCs/>
          <w:color w:val="92D050"/>
          <w:sz w:val="28"/>
          <w:szCs w:val="28"/>
        </w:rPr>
        <w:t>GREENTech4CE</w:t>
      </w:r>
      <w:r w:rsidRPr="00C27128">
        <w:rPr>
          <w:rFonts w:ascii="Arial" w:hAnsi="Arial" w:cs="Arial"/>
          <w:color w:val="92D050"/>
          <w:sz w:val="28"/>
          <w:szCs w:val="28"/>
        </w:rPr>
        <w:t xml:space="preserve"> </w:t>
      </w:r>
      <w:r w:rsidR="00944AEB" w:rsidRPr="00C27128">
        <w:rPr>
          <w:rFonts w:ascii="Arial" w:hAnsi="Arial" w:cs="Arial"/>
          <w:color w:val="92D050"/>
          <w:sz w:val="28"/>
          <w:szCs w:val="28"/>
        </w:rPr>
        <w:t>Mid-Term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501"/>
      </w:tblGrid>
      <w:tr w:rsidR="00944AEB" w:rsidRPr="004604C7" w14:paraId="67C84212" w14:textId="77777777" w:rsidTr="00214CB8">
        <w:tc>
          <w:tcPr>
            <w:tcW w:w="2511" w:type="dxa"/>
          </w:tcPr>
          <w:p w14:paraId="49454242" w14:textId="77777777" w:rsidR="00944AEB" w:rsidRPr="004604C7" w:rsidRDefault="00944AEB" w:rsidP="00C27128">
            <w:pPr>
              <w:spacing w:line="276" w:lineRule="auto"/>
              <w:jc w:val="both"/>
              <w:rPr>
                <w:rFonts w:ascii="Arial" w:hAnsi="Arial" w:cs="Arial"/>
                <w:b/>
                <w:bCs/>
                <w:sz w:val="22"/>
                <w:szCs w:val="22"/>
              </w:rPr>
            </w:pPr>
            <w:r w:rsidRPr="004604C7">
              <w:rPr>
                <w:rFonts w:ascii="Arial" w:hAnsi="Arial" w:cs="Arial"/>
                <w:b/>
                <w:bCs/>
                <w:sz w:val="22"/>
                <w:szCs w:val="22"/>
              </w:rPr>
              <w:t>Project Title</w:t>
            </w:r>
          </w:p>
        </w:tc>
        <w:tc>
          <w:tcPr>
            <w:tcW w:w="6505" w:type="dxa"/>
          </w:tcPr>
          <w:p w14:paraId="010BBEB7" w14:textId="77777777" w:rsidR="00944AEB" w:rsidRPr="004604C7" w:rsidRDefault="001C398A" w:rsidP="00C27128">
            <w:pPr>
              <w:spacing w:line="276" w:lineRule="auto"/>
              <w:jc w:val="both"/>
              <w:rPr>
                <w:rFonts w:ascii="Arial" w:hAnsi="Arial" w:cs="Arial"/>
                <w:b/>
                <w:bCs/>
                <w:sz w:val="22"/>
                <w:szCs w:val="22"/>
              </w:rPr>
            </w:pPr>
            <w:r w:rsidRPr="004604C7">
              <w:rPr>
                <w:rFonts w:ascii="Arial" w:hAnsi="Arial" w:cs="Arial"/>
                <w:b/>
                <w:bCs/>
                <w:sz w:val="22"/>
                <w:szCs w:val="22"/>
              </w:rPr>
              <w:t>GREENTech4CE</w:t>
            </w:r>
          </w:p>
          <w:p w14:paraId="3AA01E2A" w14:textId="77777777" w:rsidR="00944AEB" w:rsidRPr="004604C7" w:rsidRDefault="00944AEB" w:rsidP="00C27128">
            <w:pPr>
              <w:spacing w:line="276" w:lineRule="auto"/>
              <w:jc w:val="both"/>
              <w:rPr>
                <w:rFonts w:ascii="Arial" w:hAnsi="Arial" w:cs="Arial"/>
                <w:b/>
                <w:bCs/>
                <w:sz w:val="22"/>
                <w:szCs w:val="22"/>
              </w:rPr>
            </w:pPr>
          </w:p>
          <w:p w14:paraId="2BB20721" w14:textId="77777777" w:rsidR="00944AEB" w:rsidRPr="004604C7" w:rsidRDefault="001C398A" w:rsidP="00C27128">
            <w:pPr>
              <w:spacing w:line="276" w:lineRule="auto"/>
              <w:jc w:val="both"/>
              <w:rPr>
                <w:rFonts w:ascii="Arial" w:hAnsi="Arial" w:cs="Arial"/>
                <w:sz w:val="22"/>
                <w:szCs w:val="22"/>
              </w:rPr>
            </w:pPr>
            <w:r w:rsidRPr="004604C7">
              <w:rPr>
                <w:rFonts w:ascii="Arial" w:hAnsi="Arial" w:cs="Arial"/>
                <w:b/>
                <w:bCs/>
                <w:sz w:val="22"/>
                <w:szCs w:val="22"/>
              </w:rPr>
              <w:t>G</w:t>
            </w:r>
            <w:r w:rsidRPr="004604C7">
              <w:rPr>
                <w:rFonts w:ascii="Arial" w:hAnsi="Arial" w:cs="Arial"/>
                <w:sz w:val="22"/>
                <w:szCs w:val="22"/>
              </w:rPr>
              <w:t xml:space="preserve">reen </w:t>
            </w:r>
            <w:r w:rsidRPr="004604C7">
              <w:rPr>
                <w:rFonts w:ascii="Arial" w:hAnsi="Arial" w:cs="Arial"/>
                <w:b/>
                <w:bCs/>
                <w:sz w:val="22"/>
                <w:szCs w:val="22"/>
              </w:rPr>
              <w:t>R</w:t>
            </w:r>
            <w:r w:rsidRPr="004604C7">
              <w:rPr>
                <w:rFonts w:ascii="Arial" w:hAnsi="Arial" w:cs="Arial"/>
                <w:sz w:val="22"/>
                <w:szCs w:val="22"/>
              </w:rPr>
              <w:t xml:space="preserve">ecycling </w:t>
            </w:r>
            <w:r w:rsidRPr="004604C7">
              <w:rPr>
                <w:rFonts w:ascii="Arial" w:hAnsi="Arial" w:cs="Arial"/>
                <w:b/>
                <w:bCs/>
                <w:sz w:val="22"/>
                <w:szCs w:val="22"/>
              </w:rPr>
              <w:t>E</w:t>
            </w:r>
            <w:r w:rsidRPr="004604C7">
              <w:rPr>
                <w:rFonts w:ascii="Arial" w:hAnsi="Arial" w:cs="Arial"/>
                <w:sz w:val="22"/>
                <w:szCs w:val="22"/>
              </w:rPr>
              <w:t xml:space="preserve">nterprises </w:t>
            </w:r>
            <w:r w:rsidRPr="004604C7">
              <w:rPr>
                <w:rFonts w:ascii="Arial" w:hAnsi="Arial" w:cs="Arial"/>
                <w:b/>
                <w:bCs/>
                <w:sz w:val="22"/>
                <w:szCs w:val="22"/>
              </w:rPr>
              <w:t>E</w:t>
            </w:r>
            <w:r w:rsidRPr="004604C7">
              <w:rPr>
                <w:rFonts w:ascii="Arial" w:hAnsi="Arial" w:cs="Arial"/>
                <w:sz w:val="22"/>
                <w:szCs w:val="22"/>
              </w:rPr>
              <w:t xml:space="preserve">ngaging in </w:t>
            </w:r>
            <w:r w:rsidRPr="004604C7">
              <w:rPr>
                <w:rFonts w:ascii="Arial" w:hAnsi="Arial" w:cs="Arial"/>
                <w:b/>
                <w:bCs/>
                <w:sz w:val="22"/>
                <w:szCs w:val="22"/>
              </w:rPr>
              <w:t>N</w:t>
            </w:r>
            <w:r w:rsidRPr="004604C7">
              <w:rPr>
                <w:rFonts w:ascii="Arial" w:hAnsi="Arial" w:cs="Arial"/>
                <w:sz w:val="22"/>
                <w:szCs w:val="22"/>
              </w:rPr>
              <w:t xml:space="preserve">ew </w:t>
            </w:r>
            <w:r w:rsidRPr="004604C7">
              <w:rPr>
                <w:rFonts w:ascii="Arial" w:hAnsi="Arial" w:cs="Arial"/>
                <w:b/>
                <w:bCs/>
                <w:sz w:val="22"/>
                <w:szCs w:val="22"/>
              </w:rPr>
              <w:t>T</w:t>
            </w:r>
            <w:r w:rsidRPr="004604C7">
              <w:rPr>
                <w:rFonts w:ascii="Arial" w:hAnsi="Arial" w:cs="Arial"/>
                <w:sz w:val="22"/>
                <w:szCs w:val="22"/>
              </w:rPr>
              <w:t xml:space="preserve">echnology for a </w:t>
            </w:r>
            <w:r w:rsidRPr="004604C7">
              <w:rPr>
                <w:rFonts w:ascii="Arial" w:hAnsi="Arial" w:cs="Arial"/>
                <w:b/>
                <w:bCs/>
                <w:sz w:val="22"/>
                <w:szCs w:val="22"/>
              </w:rPr>
              <w:t>C</w:t>
            </w:r>
            <w:r w:rsidRPr="004604C7">
              <w:rPr>
                <w:rFonts w:ascii="Arial" w:hAnsi="Arial" w:cs="Arial"/>
                <w:sz w:val="22"/>
                <w:szCs w:val="22"/>
              </w:rPr>
              <w:t xml:space="preserve">ircular </w:t>
            </w:r>
            <w:r w:rsidRPr="004604C7">
              <w:rPr>
                <w:rFonts w:ascii="Arial" w:hAnsi="Arial" w:cs="Arial"/>
                <w:b/>
                <w:bCs/>
                <w:sz w:val="22"/>
                <w:szCs w:val="22"/>
              </w:rPr>
              <w:t>E</w:t>
            </w:r>
            <w:r w:rsidRPr="004604C7">
              <w:rPr>
                <w:rFonts w:ascii="Arial" w:hAnsi="Arial" w:cs="Arial"/>
                <w:sz w:val="22"/>
                <w:szCs w:val="22"/>
              </w:rPr>
              <w:t>conomy in Zambia –</w:t>
            </w:r>
            <w:r w:rsidR="00944AEB" w:rsidRPr="004604C7">
              <w:rPr>
                <w:rFonts w:ascii="Arial" w:hAnsi="Arial" w:cs="Arial"/>
                <w:sz w:val="22"/>
                <w:szCs w:val="22"/>
              </w:rPr>
              <w:t xml:space="preserve"> </w:t>
            </w:r>
            <w:r w:rsidRPr="004604C7">
              <w:rPr>
                <w:rFonts w:ascii="Arial" w:hAnsi="Arial" w:cs="Arial"/>
                <w:sz w:val="22"/>
                <w:szCs w:val="22"/>
              </w:rPr>
              <w:t>GREENTech4CE</w:t>
            </w:r>
          </w:p>
        </w:tc>
      </w:tr>
      <w:tr w:rsidR="00944AEB" w:rsidRPr="004604C7" w14:paraId="5015C593" w14:textId="77777777" w:rsidTr="00214CB8">
        <w:tc>
          <w:tcPr>
            <w:tcW w:w="2511" w:type="dxa"/>
          </w:tcPr>
          <w:p w14:paraId="089B9884" w14:textId="77777777" w:rsidR="00944AEB" w:rsidRPr="004604C7" w:rsidRDefault="00944AEB" w:rsidP="00C27128">
            <w:pPr>
              <w:spacing w:line="276" w:lineRule="auto"/>
              <w:jc w:val="both"/>
              <w:rPr>
                <w:rFonts w:ascii="Arial" w:hAnsi="Arial" w:cs="Arial"/>
                <w:sz w:val="22"/>
                <w:szCs w:val="22"/>
              </w:rPr>
            </w:pPr>
            <w:r w:rsidRPr="004604C7">
              <w:rPr>
                <w:rFonts w:ascii="Arial" w:hAnsi="Arial" w:cs="Arial"/>
                <w:b/>
                <w:sz w:val="22"/>
                <w:szCs w:val="22"/>
              </w:rPr>
              <w:t xml:space="preserve">Duration </w:t>
            </w:r>
          </w:p>
        </w:tc>
        <w:tc>
          <w:tcPr>
            <w:tcW w:w="6505" w:type="dxa"/>
          </w:tcPr>
          <w:p w14:paraId="5436A99D" w14:textId="77777777" w:rsidR="00944AEB" w:rsidRPr="004604C7" w:rsidRDefault="005812AC" w:rsidP="00C27128">
            <w:pPr>
              <w:spacing w:line="276" w:lineRule="auto"/>
              <w:jc w:val="both"/>
              <w:rPr>
                <w:rFonts w:ascii="Arial" w:hAnsi="Arial" w:cs="Arial"/>
                <w:sz w:val="22"/>
                <w:szCs w:val="22"/>
              </w:rPr>
            </w:pPr>
            <w:r w:rsidRPr="004604C7">
              <w:rPr>
                <w:rFonts w:ascii="Arial" w:eastAsia="Helvetica Neue" w:hAnsi="Arial" w:cs="Arial"/>
                <w:sz w:val="22"/>
                <w:szCs w:val="22"/>
              </w:rPr>
              <w:t>July</w:t>
            </w:r>
            <w:r w:rsidR="00944AEB" w:rsidRPr="004604C7">
              <w:rPr>
                <w:rFonts w:ascii="Arial" w:eastAsia="Helvetica Neue" w:hAnsi="Arial" w:cs="Arial"/>
                <w:sz w:val="22"/>
                <w:szCs w:val="22"/>
              </w:rPr>
              <w:t xml:space="preserve"> 202</w:t>
            </w:r>
            <w:r w:rsidRPr="004604C7">
              <w:rPr>
                <w:rFonts w:ascii="Arial" w:eastAsia="Helvetica Neue" w:hAnsi="Arial" w:cs="Arial"/>
                <w:sz w:val="22"/>
                <w:szCs w:val="22"/>
              </w:rPr>
              <w:t>4</w:t>
            </w:r>
            <w:r w:rsidR="00944AEB" w:rsidRPr="004604C7">
              <w:rPr>
                <w:rFonts w:ascii="Arial" w:eastAsia="Helvetica Neue" w:hAnsi="Arial" w:cs="Arial"/>
                <w:sz w:val="22"/>
                <w:szCs w:val="22"/>
              </w:rPr>
              <w:t xml:space="preserve"> to </w:t>
            </w:r>
            <w:r w:rsidRPr="004604C7">
              <w:rPr>
                <w:rFonts w:ascii="Arial" w:eastAsia="Helvetica Neue" w:hAnsi="Arial" w:cs="Arial"/>
                <w:sz w:val="22"/>
                <w:szCs w:val="22"/>
              </w:rPr>
              <w:t>June</w:t>
            </w:r>
            <w:r w:rsidR="00944AEB" w:rsidRPr="004604C7">
              <w:rPr>
                <w:rFonts w:ascii="Arial" w:eastAsia="Helvetica Neue" w:hAnsi="Arial" w:cs="Arial"/>
                <w:sz w:val="22"/>
                <w:szCs w:val="22"/>
              </w:rPr>
              <w:t xml:space="preserve"> 202</w:t>
            </w:r>
            <w:r w:rsidRPr="004604C7">
              <w:rPr>
                <w:rFonts w:ascii="Arial" w:eastAsia="Helvetica Neue" w:hAnsi="Arial" w:cs="Arial"/>
                <w:sz w:val="22"/>
                <w:szCs w:val="22"/>
              </w:rPr>
              <w:t>8</w:t>
            </w:r>
            <w:r w:rsidR="00944AEB" w:rsidRPr="004604C7">
              <w:rPr>
                <w:rFonts w:ascii="Arial" w:eastAsia="Helvetica Neue" w:hAnsi="Arial" w:cs="Arial"/>
                <w:sz w:val="22"/>
                <w:szCs w:val="22"/>
              </w:rPr>
              <w:t xml:space="preserve"> (</w:t>
            </w:r>
            <w:r w:rsidRPr="004604C7">
              <w:rPr>
                <w:rFonts w:ascii="Arial" w:eastAsia="Helvetica Neue" w:hAnsi="Arial" w:cs="Arial"/>
                <w:sz w:val="22"/>
                <w:szCs w:val="22"/>
              </w:rPr>
              <w:t>48</w:t>
            </w:r>
            <w:r w:rsidR="00944AEB" w:rsidRPr="004604C7">
              <w:rPr>
                <w:rFonts w:ascii="Arial" w:eastAsia="Helvetica Neue" w:hAnsi="Arial" w:cs="Arial"/>
                <w:sz w:val="22"/>
                <w:szCs w:val="22"/>
              </w:rPr>
              <w:t xml:space="preserve"> months)</w:t>
            </w:r>
          </w:p>
        </w:tc>
      </w:tr>
    </w:tbl>
    <w:p w14:paraId="6E497490" w14:textId="77777777" w:rsidR="00944AEB" w:rsidRPr="004604C7" w:rsidRDefault="00944AEB" w:rsidP="00C27128">
      <w:pPr>
        <w:spacing w:line="276" w:lineRule="auto"/>
        <w:jc w:val="both"/>
        <w:rPr>
          <w:rFonts w:ascii="Arial" w:hAnsi="Arial" w:cs="Arial"/>
          <w:color w:val="92D050"/>
          <w:sz w:val="22"/>
          <w:szCs w:val="22"/>
        </w:rPr>
      </w:pPr>
    </w:p>
    <w:p w14:paraId="1309A230"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INTRODUCTION</w:t>
      </w:r>
    </w:p>
    <w:p w14:paraId="739FD83C" w14:textId="77777777" w:rsidR="005812AC" w:rsidRDefault="005812AC" w:rsidP="00C27128">
      <w:pPr>
        <w:spacing w:line="276" w:lineRule="auto"/>
        <w:jc w:val="both"/>
        <w:rPr>
          <w:rFonts w:ascii="Arial" w:eastAsia="Calibri" w:hAnsi="Arial" w:cs="Arial"/>
          <w:color w:val="000000" w:themeColor="text1"/>
          <w:sz w:val="22"/>
          <w:szCs w:val="22"/>
        </w:rPr>
      </w:pPr>
      <w:r w:rsidRPr="004604C7">
        <w:rPr>
          <w:rFonts w:ascii="Arial" w:eastAsia="Calibri" w:hAnsi="Arial" w:cs="Arial"/>
          <w:color w:val="000000" w:themeColor="text1"/>
          <w:sz w:val="22"/>
          <w:szCs w:val="22"/>
        </w:rPr>
        <w:t>The Green Recycling Enterprises Engaging in New Technology for a Circular Economy in Zambia (GREENTech4CE) project is a € 22.7 million initiative funded by the European Union. The Project is based on a collaboration with the Ministry of Green Economy and Environment (MoGEE), the Ministry of Small and Medium Enterprise Development (MSMED), the Ministry of Commerce, Trade and Industry (MoCTI) and the Ministry of Technology and Science (MoTS) as well as with representatives of the private sector, such as the Zambia Chambers of Commerce and Industry (ZACCI), Business Development Service Providers Association of Zambia (BDSPAZ), Bankers Association of Zambia (BAZ), Zambia Association of Manufacturers (ZAM) and National Advisory Body for Impact Investment (NABII) amongst other private sector actors.</w:t>
      </w:r>
    </w:p>
    <w:p w14:paraId="7C96989F" w14:textId="77777777" w:rsidR="00591AC4" w:rsidRPr="004604C7" w:rsidRDefault="00591AC4" w:rsidP="00C27128">
      <w:pPr>
        <w:spacing w:line="276" w:lineRule="auto"/>
        <w:jc w:val="both"/>
        <w:rPr>
          <w:rFonts w:ascii="Arial" w:eastAsia="Calibri" w:hAnsi="Arial" w:cs="Arial"/>
          <w:color w:val="000000"/>
          <w:sz w:val="22"/>
          <w:szCs w:val="22"/>
        </w:rPr>
      </w:pPr>
    </w:p>
    <w:p w14:paraId="56377CF7" w14:textId="77777777" w:rsidR="005812AC" w:rsidRDefault="005812AC" w:rsidP="00C27128">
      <w:pPr>
        <w:spacing w:line="276" w:lineRule="auto"/>
        <w:jc w:val="both"/>
        <w:rPr>
          <w:rFonts w:ascii="Arial" w:eastAsia="Calibri" w:hAnsi="Arial" w:cs="Arial"/>
          <w:color w:val="000000"/>
          <w:sz w:val="22"/>
          <w:szCs w:val="22"/>
        </w:rPr>
      </w:pPr>
      <w:r w:rsidRPr="004604C7">
        <w:rPr>
          <w:rFonts w:ascii="Arial" w:eastAsia="Calibri" w:hAnsi="Arial" w:cs="Arial"/>
          <w:color w:val="000000"/>
          <w:sz w:val="22"/>
          <w:szCs w:val="22"/>
        </w:rPr>
        <w:t>The GREENTech4CE project is dedicated to fostering sustainable and inclusive economic growth in Zambia</w:t>
      </w:r>
      <w:sdt>
        <w:sdtPr>
          <w:rPr>
            <w:rFonts w:ascii="Arial" w:hAnsi="Arial" w:cs="Arial"/>
            <w:sz w:val="22"/>
            <w:szCs w:val="22"/>
          </w:rPr>
          <w:tag w:val="goog_rdk_31"/>
          <w:id w:val="-1453697713"/>
        </w:sdtPr>
        <w:sdtContent>
          <w:r w:rsidRPr="004604C7">
            <w:rPr>
              <w:rFonts w:ascii="Arial" w:eastAsia="Calibri" w:hAnsi="Arial" w:cs="Arial"/>
              <w:color w:val="000000"/>
              <w:sz w:val="22"/>
              <w:szCs w:val="22"/>
            </w:rPr>
            <w:t>,</w:t>
          </w:r>
        </w:sdtContent>
      </w:sdt>
      <w:r w:rsidRPr="004604C7">
        <w:rPr>
          <w:rFonts w:ascii="Arial" w:eastAsia="Calibri" w:hAnsi="Arial" w:cs="Arial"/>
          <w:color w:val="000000"/>
          <w:sz w:val="22"/>
          <w:szCs w:val="22"/>
        </w:rPr>
        <w:t xml:space="preserve"> supporting the development of start-ups and MSMEs within the green, circular economy and digital sectors and those that are seeking to implement or transition to green, circular and digital business models. Through comprehensive technical and financial support, GREENTech4CE will drive innovation, create employment opportunities, and facilitate economic diversification. This project falls under the broader Green Economy Promotion and Diversification (GEPD) Project supported by the European Commission, which seeks to address Zambia’s economic vulnerabilities and environmental challenges. Together, these initiatives strive to build a resilient and sustainable future for Zambia.</w:t>
      </w:r>
    </w:p>
    <w:p w14:paraId="03E1C89A" w14:textId="77777777" w:rsidR="00591AC4" w:rsidRPr="004604C7" w:rsidRDefault="00591AC4" w:rsidP="00C27128">
      <w:pPr>
        <w:spacing w:line="276" w:lineRule="auto"/>
        <w:jc w:val="both"/>
        <w:rPr>
          <w:rFonts w:ascii="Arial" w:eastAsia="Calibri" w:hAnsi="Arial" w:cs="Arial"/>
          <w:color w:val="000000"/>
          <w:sz w:val="22"/>
          <w:szCs w:val="22"/>
        </w:rPr>
      </w:pPr>
    </w:p>
    <w:p w14:paraId="29C203A5" w14:textId="77777777" w:rsidR="005812AC" w:rsidRPr="004604C7" w:rsidRDefault="005812AC" w:rsidP="00C27128">
      <w:pPr>
        <w:spacing w:line="276" w:lineRule="auto"/>
        <w:jc w:val="both"/>
        <w:rPr>
          <w:rFonts w:ascii="Arial" w:eastAsia="Calibri" w:hAnsi="Arial" w:cs="Arial"/>
          <w:color w:val="000000"/>
          <w:sz w:val="22"/>
          <w:szCs w:val="22"/>
        </w:rPr>
      </w:pPr>
      <w:r w:rsidRPr="004604C7">
        <w:rPr>
          <w:rFonts w:ascii="Arial" w:eastAsia="Calibri" w:hAnsi="Arial" w:cs="Arial"/>
          <w:color w:val="000000" w:themeColor="text1"/>
          <w:sz w:val="22"/>
          <w:szCs w:val="22"/>
        </w:rPr>
        <w:t xml:space="preserve">The project is inspired by the European Commission’s Circular Economy Action Plan (CEAP) launched in March 2020, one of the main building blocks of the European Green Deal. The CEAP promotes </w:t>
      </w:r>
      <w:sdt>
        <w:sdtPr>
          <w:rPr>
            <w:rFonts w:ascii="Arial" w:hAnsi="Arial" w:cs="Arial"/>
            <w:sz w:val="22"/>
            <w:szCs w:val="22"/>
          </w:rPr>
          <w:tag w:val="goog_rdk_42"/>
          <w:id w:val="-1237013683"/>
        </w:sdtPr>
        <w:sdtContent>
          <w:r w:rsidRPr="004604C7">
            <w:rPr>
              <w:rFonts w:ascii="Arial" w:eastAsia="Calibri" w:hAnsi="Arial" w:cs="Arial"/>
              <w:color w:val="000000" w:themeColor="text1"/>
              <w:sz w:val="22"/>
              <w:szCs w:val="22"/>
            </w:rPr>
            <w:t xml:space="preserve">the </w:t>
          </w:r>
        </w:sdtContent>
      </w:sdt>
      <w:r w:rsidRPr="004604C7">
        <w:rPr>
          <w:rFonts w:ascii="Arial" w:eastAsia="Calibri" w:hAnsi="Arial" w:cs="Arial"/>
          <w:color w:val="000000" w:themeColor="text1"/>
          <w:sz w:val="22"/>
          <w:szCs w:val="22"/>
        </w:rPr>
        <w:t xml:space="preserve">transition to a circular economy </w:t>
      </w:r>
      <w:sdt>
        <w:sdtPr>
          <w:rPr>
            <w:rFonts w:ascii="Arial" w:hAnsi="Arial" w:cs="Arial"/>
            <w:sz w:val="22"/>
            <w:szCs w:val="22"/>
          </w:rPr>
          <w:tag w:val="goog_rdk_43"/>
          <w:id w:val="-54622671"/>
        </w:sdtPr>
        <w:sdtContent>
          <w:r w:rsidRPr="004604C7">
            <w:rPr>
              <w:rFonts w:ascii="Arial" w:eastAsia="Calibri" w:hAnsi="Arial" w:cs="Arial"/>
              <w:color w:val="000000" w:themeColor="text1"/>
              <w:sz w:val="22"/>
              <w:szCs w:val="22"/>
            </w:rPr>
            <w:t xml:space="preserve">as a means of </w:t>
          </w:r>
        </w:sdtContent>
      </w:sdt>
      <w:r w:rsidRPr="004604C7">
        <w:rPr>
          <w:rFonts w:ascii="Arial" w:eastAsia="Calibri" w:hAnsi="Arial" w:cs="Arial"/>
          <w:color w:val="000000" w:themeColor="text1"/>
          <w:sz w:val="22"/>
          <w:szCs w:val="22"/>
        </w:rPr>
        <w:t>reduc</w:t>
      </w:r>
      <w:sdt>
        <w:sdtPr>
          <w:rPr>
            <w:rFonts w:ascii="Arial" w:hAnsi="Arial" w:cs="Arial"/>
            <w:sz w:val="22"/>
            <w:szCs w:val="22"/>
          </w:rPr>
          <w:tag w:val="goog_rdk_45"/>
          <w:id w:val="1593199267"/>
        </w:sdtPr>
        <w:sdtContent>
          <w:r w:rsidRPr="004604C7">
            <w:rPr>
              <w:rFonts w:ascii="Arial" w:eastAsia="Calibri" w:hAnsi="Arial" w:cs="Arial"/>
              <w:color w:val="000000" w:themeColor="text1"/>
              <w:sz w:val="22"/>
              <w:szCs w:val="22"/>
            </w:rPr>
            <w:t>ing</w:t>
          </w:r>
        </w:sdtContent>
      </w:sdt>
      <w:r w:rsidRPr="004604C7">
        <w:rPr>
          <w:rFonts w:ascii="Arial" w:hAnsi="Arial" w:cs="Arial"/>
          <w:sz w:val="22"/>
          <w:szCs w:val="22"/>
        </w:rPr>
        <w:t xml:space="preserve"> </w:t>
      </w:r>
      <w:r w:rsidRPr="004604C7">
        <w:rPr>
          <w:rFonts w:ascii="Arial" w:eastAsia="Calibri" w:hAnsi="Arial" w:cs="Arial"/>
          <w:color w:val="000000" w:themeColor="text1"/>
          <w:sz w:val="22"/>
          <w:szCs w:val="22"/>
        </w:rPr>
        <w:t>pressure on natural resources and creat</w:t>
      </w:r>
      <w:sdt>
        <w:sdtPr>
          <w:rPr>
            <w:rFonts w:ascii="Arial" w:hAnsi="Arial" w:cs="Arial"/>
            <w:sz w:val="22"/>
            <w:szCs w:val="22"/>
          </w:rPr>
          <w:tag w:val="goog_rdk_47"/>
          <w:id w:val="-1643026909"/>
        </w:sdtPr>
        <w:sdtContent>
          <w:r w:rsidRPr="004604C7">
            <w:rPr>
              <w:rFonts w:ascii="Arial" w:eastAsia="Calibri" w:hAnsi="Arial" w:cs="Arial"/>
              <w:color w:val="000000" w:themeColor="text1"/>
              <w:sz w:val="22"/>
              <w:szCs w:val="22"/>
            </w:rPr>
            <w:t>ing</w:t>
          </w:r>
        </w:sdtContent>
      </w:sdt>
      <w:r w:rsidRPr="004604C7">
        <w:rPr>
          <w:rFonts w:ascii="Arial" w:hAnsi="Arial" w:cs="Arial"/>
          <w:sz w:val="22"/>
          <w:szCs w:val="22"/>
        </w:rPr>
        <w:t xml:space="preserve"> </w:t>
      </w:r>
      <w:r w:rsidRPr="004604C7">
        <w:rPr>
          <w:rFonts w:ascii="Arial" w:eastAsia="Calibri" w:hAnsi="Arial" w:cs="Arial"/>
          <w:color w:val="000000" w:themeColor="text1"/>
          <w:sz w:val="22"/>
          <w:szCs w:val="22"/>
        </w:rPr>
        <w:t>sustainable growth and jobs, thus decoupling economic growth from natural resources depletion. The action plan announces initiatives along the entire life cycle of products, targeting product designs, circular economy processes, sustainable consumption, prevention of waste, and the extension of the lifespan of resources to retain them in the economy</w:t>
      </w:r>
      <w:sdt>
        <w:sdtPr>
          <w:rPr>
            <w:rFonts w:ascii="Arial" w:hAnsi="Arial" w:cs="Arial"/>
            <w:sz w:val="22"/>
            <w:szCs w:val="22"/>
          </w:rPr>
          <w:tag w:val="goog_rdk_49"/>
          <w:id w:val="-1433354429"/>
        </w:sdtPr>
        <w:sdtContent>
          <w:r w:rsidRPr="004604C7">
            <w:rPr>
              <w:rFonts w:ascii="Arial" w:eastAsia="Calibri" w:hAnsi="Arial" w:cs="Arial"/>
              <w:color w:val="000000" w:themeColor="text1"/>
              <w:sz w:val="22"/>
              <w:szCs w:val="22"/>
            </w:rPr>
            <w:t>,</w:t>
          </w:r>
        </w:sdtContent>
      </w:sdt>
      <w:r w:rsidRPr="004604C7">
        <w:rPr>
          <w:rFonts w:ascii="Arial" w:eastAsia="Calibri" w:hAnsi="Arial" w:cs="Arial"/>
          <w:color w:val="000000" w:themeColor="text1"/>
          <w:sz w:val="22"/>
          <w:szCs w:val="22"/>
        </w:rPr>
        <w:t xml:space="preserve"> as long as possible.  The project also supports the EU-Zambia Strategic Partnership on CRMs by contributing to the achievement of the objectives of the Memorandum of Understanding signed between the EU and the Zambian </w:t>
      </w:r>
      <w:sdt>
        <w:sdtPr>
          <w:rPr>
            <w:rFonts w:ascii="Arial" w:hAnsi="Arial" w:cs="Arial"/>
            <w:sz w:val="22"/>
            <w:szCs w:val="22"/>
          </w:rPr>
          <w:tag w:val="goog_rdk_51"/>
          <w:id w:val="-950774727"/>
        </w:sdtPr>
        <w:sdtContent>
          <w:r w:rsidRPr="004604C7">
            <w:rPr>
              <w:rFonts w:ascii="Arial" w:eastAsia="Calibri" w:hAnsi="Arial" w:cs="Arial"/>
              <w:color w:val="000000" w:themeColor="text1"/>
              <w:sz w:val="22"/>
              <w:szCs w:val="22"/>
            </w:rPr>
            <w:t xml:space="preserve">Republic </w:t>
          </w:r>
        </w:sdtContent>
      </w:sdt>
      <w:r w:rsidRPr="004604C7">
        <w:rPr>
          <w:rFonts w:ascii="Arial" w:eastAsia="Calibri" w:hAnsi="Arial" w:cs="Arial"/>
          <w:color w:val="000000" w:themeColor="text1"/>
          <w:sz w:val="22"/>
          <w:szCs w:val="22"/>
        </w:rPr>
        <w:t>on sustainable mineral value chains in October 2023.</w:t>
      </w:r>
    </w:p>
    <w:p w14:paraId="1312AAB5" w14:textId="77777777" w:rsidR="005812AC" w:rsidRDefault="005812AC" w:rsidP="00C27128">
      <w:pPr>
        <w:spacing w:line="276" w:lineRule="auto"/>
        <w:jc w:val="both"/>
        <w:rPr>
          <w:rFonts w:ascii="Arial" w:eastAsia="Calibri" w:hAnsi="Arial" w:cs="Arial"/>
          <w:color w:val="000000" w:themeColor="text1"/>
          <w:sz w:val="22"/>
          <w:szCs w:val="22"/>
        </w:rPr>
      </w:pPr>
      <w:r w:rsidRPr="004604C7">
        <w:rPr>
          <w:rFonts w:ascii="Arial" w:eastAsia="Calibri" w:hAnsi="Arial" w:cs="Arial"/>
          <w:color w:val="000000" w:themeColor="text1"/>
          <w:sz w:val="22"/>
          <w:szCs w:val="22"/>
        </w:rPr>
        <w:t>The GREENTech4CE project supports the implementation of the recently launched Zambia’s Green Growth Strategy to generate economic growth that is also socially inclusive and environmentally sustainable. It supports the Eighth National Development Plan (8</w:t>
      </w:r>
      <w:r w:rsidRPr="004604C7">
        <w:rPr>
          <w:rFonts w:ascii="Arial" w:eastAsia="Calibri" w:hAnsi="Arial" w:cs="Arial"/>
          <w:color w:val="000000" w:themeColor="text1"/>
          <w:sz w:val="22"/>
          <w:szCs w:val="22"/>
          <w:vertAlign w:val="superscript"/>
        </w:rPr>
        <w:t>th</w:t>
      </w:r>
      <w:r w:rsidRPr="004604C7">
        <w:rPr>
          <w:rFonts w:ascii="Arial" w:eastAsia="Calibri" w:hAnsi="Arial" w:cs="Arial"/>
          <w:color w:val="000000" w:themeColor="text1"/>
          <w:sz w:val="22"/>
          <w:szCs w:val="22"/>
        </w:rPr>
        <w:t xml:space="preserve"> NDP) objectives to achieve economic diversification, increase local value addition, create new and decent jobs</w:t>
      </w:r>
      <w:sdt>
        <w:sdtPr>
          <w:rPr>
            <w:rFonts w:ascii="Arial" w:hAnsi="Arial" w:cs="Arial"/>
            <w:sz w:val="22"/>
            <w:szCs w:val="22"/>
          </w:rPr>
          <w:tag w:val="goog_rdk_34"/>
          <w:id w:val="-612053446"/>
        </w:sdtPr>
        <w:sdtContent>
          <w:r w:rsidRPr="004604C7">
            <w:rPr>
              <w:rFonts w:ascii="Arial" w:eastAsia="Calibri" w:hAnsi="Arial" w:cs="Arial"/>
              <w:color w:val="000000" w:themeColor="text1"/>
              <w:sz w:val="22"/>
              <w:szCs w:val="22"/>
            </w:rPr>
            <w:t>,</w:t>
          </w:r>
        </w:sdtContent>
      </w:sdt>
      <w:r w:rsidRPr="004604C7">
        <w:rPr>
          <w:rFonts w:ascii="Arial" w:eastAsia="Calibri" w:hAnsi="Arial" w:cs="Arial"/>
          <w:color w:val="000000" w:themeColor="text1"/>
          <w:sz w:val="22"/>
          <w:szCs w:val="22"/>
        </w:rPr>
        <w:t xml:space="preserve"> and the recently adopted Critical Raw Materials (CRM) strategy. The project targets the “missing middle” which are businesses that are considered too risky because they are in new or innovation led sectors, and growth stage businesses not too mature for commercial financing and other investments.</w:t>
      </w:r>
    </w:p>
    <w:p w14:paraId="3D0CE2F7" w14:textId="77777777" w:rsidR="00591AC4" w:rsidRPr="004604C7" w:rsidRDefault="00591AC4" w:rsidP="00C27128">
      <w:pPr>
        <w:spacing w:line="276" w:lineRule="auto"/>
        <w:jc w:val="both"/>
        <w:rPr>
          <w:rFonts w:ascii="Arial" w:eastAsia="Calibri" w:hAnsi="Arial" w:cs="Arial"/>
          <w:color w:val="000000"/>
          <w:sz w:val="22"/>
          <w:szCs w:val="22"/>
        </w:rPr>
      </w:pPr>
    </w:p>
    <w:p w14:paraId="4E2BAC75" w14:textId="77777777" w:rsidR="005812AC" w:rsidRDefault="005812AC" w:rsidP="00C27128">
      <w:pPr>
        <w:spacing w:line="276" w:lineRule="auto"/>
        <w:jc w:val="both"/>
        <w:rPr>
          <w:rFonts w:ascii="Arial" w:eastAsia="Calibri" w:hAnsi="Arial" w:cs="Arial"/>
          <w:color w:val="000000"/>
          <w:sz w:val="22"/>
          <w:szCs w:val="22"/>
        </w:rPr>
      </w:pPr>
      <w:r w:rsidRPr="004604C7">
        <w:rPr>
          <w:rFonts w:ascii="Arial" w:eastAsia="Calibri" w:hAnsi="Arial" w:cs="Arial"/>
          <w:color w:val="000000"/>
          <w:sz w:val="22"/>
          <w:szCs w:val="22"/>
        </w:rPr>
        <w:t xml:space="preserve">The key approach of the GREENTech4CE project is to support the growth and success of small and medium businesses by providing expert advice and funding. The project involves collaboration with various stakeholders, including the government, businesses, and consumers, to foster sustainable and positive changes in the green economy. </w:t>
      </w:r>
    </w:p>
    <w:p w14:paraId="7289D345" w14:textId="77777777" w:rsidR="00591AC4" w:rsidRPr="004604C7" w:rsidRDefault="00591AC4" w:rsidP="00C27128">
      <w:pPr>
        <w:spacing w:line="276" w:lineRule="auto"/>
        <w:jc w:val="both"/>
        <w:rPr>
          <w:rFonts w:ascii="Arial" w:eastAsia="Calibri" w:hAnsi="Arial" w:cs="Arial"/>
          <w:color w:val="000000"/>
          <w:sz w:val="22"/>
          <w:szCs w:val="22"/>
        </w:rPr>
      </w:pPr>
    </w:p>
    <w:p w14:paraId="7C83E203" w14:textId="032E2233" w:rsidR="005812AC" w:rsidRDefault="005812AC" w:rsidP="00C27128">
      <w:pPr>
        <w:spacing w:line="276" w:lineRule="auto"/>
        <w:jc w:val="both"/>
        <w:rPr>
          <w:rFonts w:ascii="Arial" w:eastAsia="Calibri" w:hAnsi="Arial" w:cs="Arial"/>
          <w:color w:val="000000"/>
          <w:sz w:val="22"/>
          <w:szCs w:val="22"/>
        </w:rPr>
      </w:pPr>
      <w:r w:rsidRPr="004604C7">
        <w:rPr>
          <w:rFonts w:ascii="Arial" w:eastAsia="Calibri" w:hAnsi="Arial" w:cs="Arial"/>
          <w:color w:val="000000"/>
          <w:sz w:val="22"/>
          <w:szCs w:val="22"/>
        </w:rPr>
        <w:t>The project employs a blended financing model, combining project financial support with business</w:t>
      </w:r>
      <w:sdt>
        <w:sdtPr>
          <w:rPr>
            <w:rFonts w:ascii="Arial" w:hAnsi="Arial" w:cs="Arial"/>
            <w:sz w:val="22"/>
            <w:szCs w:val="22"/>
          </w:rPr>
          <w:tag w:val="goog_rdk_37"/>
          <w:id w:val="49661820"/>
        </w:sdtPr>
        <w:sdtContent>
          <w:r w:rsidRPr="004604C7">
            <w:rPr>
              <w:rFonts w:ascii="Arial" w:eastAsia="Calibri" w:hAnsi="Arial" w:cs="Arial"/>
              <w:color w:val="000000"/>
              <w:sz w:val="22"/>
              <w:szCs w:val="22"/>
            </w:rPr>
            <w:t>’s</w:t>
          </w:r>
        </w:sdtContent>
      </w:sdt>
      <w:r w:rsidRPr="004604C7">
        <w:rPr>
          <w:rFonts w:ascii="Arial" w:eastAsia="Calibri" w:hAnsi="Arial" w:cs="Arial"/>
          <w:color w:val="000000"/>
          <w:sz w:val="22"/>
          <w:szCs w:val="22"/>
        </w:rPr>
        <w:t xml:space="preserve"> own contributions (</w:t>
      </w:r>
      <w:r w:rsidRPr="004604C7">
        <w:rPr>
          <w:rFonts w:ascii="Arial" w:eastAsia="Calibri" w:hAnsi="Arial" w:cs="Arial"/>
          <w:i/>
          <w:color w:val="000000"/>
          <w:sz w:val="22"/>
          <w:szCs w:val="22"/>
        </w:rPr>
        <w:t>skin in the game)</w:t>
      </w:r>
      <w:r w:rsidRPr="004604C7">
        <w:rPr>
          <w:rFonts w:ascii="Arial" w:eastAsia="Calibri" w:hAnsi="Arial" w:cs="Arial"/>
          <w:color w:val="000000"/>
          <w:sz w:val="22"/>
          <w:szCs w:val="22"/>
        </w:rPr>
        <w:t xml:space="preserve"> to stimulate further investment and commitment. </w:t>
      </w:r>
      <w:sdt>
        <w:sdtPr>
          <w:rPr>
            <w:rFonts w:ascii="Arial" w:hAnsi="Arial" w:cs="Arial"/>
            <w:sz w:val="22"/>
            <w:szCs w:val="22"/>
          </w:rPr>
          <w:tag w:val="goog_rdk_39"/>
          <w:id w:val="95451070"/>
        </w:sdtPr>
        <w:sdtContent>
          <w:r w:rsidRPr="004604C7">
            <w:rPr>
              <w:rFonts w:ascii="Arial" w:eastAsia="Calibri" w:hAnsi="Arial" w:cs="Arial"/>
              <w:color w:val="000000"/>
              <w:sz w:val="22"/>
              <w:szCs w:val="22"/>
            </w:rPr>
            <w:t>It</w:t>
          </w:r>
        </w:sdtContent>
      </w:sdt>
      <w:r w:rsidRPr="004604C7">
        <w:rPr>
          <w:rFonts w:ascii="Arial" w:eastAsia="Calibri" w:hAnsi="Arial" w:cs="Arial"/>
          <w:color w:val="000000"/>
          <w:sz w:val="22"/>
          <w:szCs w:val="22"/>
        </w:rPr>
        <w:t xml:space="preserve"> adopts an adaptive management approach, premised on co-creations as well as continuous improvements based on feedback and new information to address the needs of businesses and the community. It emphasises the inclusion such as of women and youth entrepreneurs, helping them overcome barriers to participating in the economy. </w:t>
      </w:r>
    </w:p>
    <w:p w14:paraId="61019B01" w14:textId="77777777" w:rsidR="00591AC4" w:rsidRPr="004604C7" w:rsidRDefault="00591AC4" w:rsidP="00C27128">
      <w:pPr>
        <w:spacing w:line="276" w:lineRule="auto"/>
        <w:jc w:val="both"/>
        <w:rPr>
          <w:rFonts w:ascii="Arial" w:eastAsia="Calibri" w:hAnsi="Arial" w:cs="Arial"/>
          <w:color w:val="000000"/>
          <w:sz w:val="22"/>
          <w:szCs w:val="22"/>
        </w:rPr>
      </w:pPr>
    </w:p>
    <w:p w14:paraId="6A82814D" w14:textId="77777777" w:rsidR="00944AEB" w:rsidRDefault="005812AC" w:rsidP="00C27128">
      <w:pPr>
        <w:spacing w:line="276" w:lineRule="auto"/>
        <w:jc w:val="both"/>
        <w:rPr>
          <w:rFonts w:ascii="Arial" w:hAnsi="Arial" w:cs="Arial"/>
          <w:sz w:val="22"/>
          <w:szCs w:val="22"/>
        </w:rPr>
      </w:pPr>
      <w:r w:rsidRPr="004604C7">
        <w:rPr>
          <w:rFonts w:ascii="Arial" w:eastAsia="Calibri" w:hAnsi="Arial" w:cs="Arial"/>
          <w:sz w:val="22"/>
          <w:szCs w:val="22"/>
        </w:rPr>
        <w:t>The Project is implemented by Self Help Africa (“SHA”) in a consortium with the Consortium Partners namely, Imani Development (International) Ltd (“IDIL”), Prospero Limited (“Prospero”) and Tandem Circular Consulting (“Tandem”).</w:t>
      </w:r>
      <w:r w:rsidRPr="004604C7" w:rsidDel="00EC7A3E">
        <w:rPr>
          <w:rFonts w:ascii="Arial" w:hAnsi="Arial" w:cs="Arial"/>
          <w:sz w:val="22"/>
          <w:szCs w:val="22"/>
        </w:rPr>
        <w:t xml:space="preserve"> </w:t>
      </w:r>
    </w:p>
    <w:p w14:paraId="5C3D0707" w14:textId="77777777" w:rsidR="00591AC4" w:rsidRPr="004604C7" w:rsidRDefault="00591AC4" w:rsidP="00C27128">
      <w:pPr>
        <w:spacing w:line="276" w:lineRule="auto"/>
        <w:jc w:val="both"/>
        <w:rPr>
          <w:rFonts w:ascii="Arial" w:eastAsia="Calibri" w:hAnsi="Arial" w:cs="Arial"/>
          <w:sz w:val="22"/>
          <w:szCs w:val="22"/>
        </w:rPr>
      </w:pPr>
    </w:p>
    <w:p w14:paraId="2BA75CB0" w14:textId="20538675" w:rsidR="006A60B9" w:rsidRPr="004604C7" w:rsidRDefault="00582221" w:rsidP="00C27128">
      <w:pPr>
        <w:spacing w:line="276" w:lineRule="auto"/>
        <w:jc w:val="both"/>
        <w:rPr>
          <w:rFonts w:ascii="Arial" w:hAnsi="Arial" w:cs="Arial"/>
          <w:color w:val="92D050"/>
          <w:sz w:val="22"/>
          <w:szCs w:val="22"/>
          <w:lang w:eastAsia="en-GB"/>
        </w:rPr>
      </w:pPr>
      <w:r w:rsidRPr="004604C7">
        <w:rPr>
          <w:rFonts w:ascii="Arial" w:hAnsi="Arial" w:cs="Arial"/>
          <w:sz w:val="22"/>
          <w:szCs w:val="22"/>
          <w:lang w:eastAsia="en-GB"/>
        </w:rPr>
        <w:t xml:space="preserve">The intervention logic of GREEN Tech4CE is based on a market systems approach, which seeks to address the challenges facing MSMEs to create a sustainable </w:t>
      </w:r>
      <w:r w:rsidR="001F5E26" w:rsidRPr="004604C7">
        <w:rPr>
          <w:rFonts w:ascii="Arial" w:hAnsi="Arial" w:cs="Arial"/>
          <w:sz w:val="22"/>
          <w:szCs w:val="22"/>
          <w:lang w:eastAsia="en-GB"/>
        </w:rPr>
        <w:t>green, circular and digital (GCD)</w:t>
      </w:r>
      <w:r w:rsidRPr="004604C7">
        <w:rPr>
          <w:rFonts w:ascii="Arial" w:hAnsi="Arial" w:cs="Arial"/>
          <w:sz w:val="22"/>
          <w:szCs w:val="22"/>
          <w:lang w:eastAsia="en-GB"/>
        </w:rPr>
        <w:t xml:space="preserve"> economy. The logic is that by developing the capacity of MSMEs through technical assistance and financial support alongside developing and linking value chains and increasing market awareness/demand for GCD products (OP1.1. and OP1.2); increasing the availability and range of financial products available to MSMEs operating in GCD activities through providing technical assistance and financial support to FSPs/investors (OP1.3.); and holding peer-led private-public learning events and developing policy briefs to influence GCD standards and practices (OP1.4) will attract more investment and facilitate growth of MSMEs in the GCD economy in Zambia (SO1), and that</w:t>
      </w:r>
      <w:r w:rsidR="00591AC4">
        <w:rPr>
          <w:rFonts w:ascii="Arial" w:hAnsi="Arial" w:cs="Arial"/>
          <w:sz w:val="22"/>
          <w:szCs w:val="22"/>
          <w:lang w:eastAsia="en-GB"/>
        </w:rPr>
        <w:t xml:space="preserve"> Business Development Service Providers</w:t>
      </w:r>
      <w:r w:rsidRPr="004604C7">
        <w:rPr>
          <w:rFonts w:ascii="Arial" w:hAnsi="Arial" w:cs="Arial"/>
          <w:sz w:val="22"/>
          <w:szCs w:val="22"/>
          <w:lang w:eastAsia="en-GB"/>
        </w:rPr>
        <w:t xml:space="preserve"> </w:t>
      </w:r>
      <w:r w:rsidR="00591AC4">
        <w:rPr>
          <w:rFonts w:ascii="Arial" w:hAnsi="Arial" w:cs="Arial"/>
          <w:sz w:val="22"/>
          <w:szCs w:val="22"/>
          <w:lang w:eastAsia="en-GB"/>
        </w:rPr>
        <w:t>(</w:t>
      </w:r>
      <w:r w:rsidRPr="004604C7">
        <w:rPr>
          <w:rFonts w:ascii="Arial" w:hAnsi="Arial" w:cs="Arial"/>
          <w:sz w:val="22"/>
          <w:szCs w:val="22"/>
          <w:lang w:eastAsia="en-GB"/>
        </w:rPr>
        <w:t>BDSPs</w:t>
      </w:r>
      <w:r w:rsidR="00591AC4">
        <w:rPr>
          <w:rFonts w:ascii="Arial" w:hAnsi="Arial" w:cs="Arial"/>
          <w:sz w:val="22"/>
          <w:szCs w:val="22"/>
          <w:lang w:eastAsia="en-GB"/>
        </w:rPr>
        <w:t>)</w:t>
      </w:r>
      <w:r w:rsidRPr="004604C7">
        <w:rPr>
          <w:rFonts w:ascii="Arial" w:hAnsi="Arial" w:cs="Arial"/>
          <w:sz w:val="22"/>
          <w:szCs w:val="22"/>
          <w:lang w:eastAsia="en-GB"/>
        </w:rPr>
        <w:t xml:space="preserve"> using technical assistance and financial support to increase the provision of services to MSMEs in the GCD economy (OP2.1); and </w:t>
      </w:r>
      <w:r w:rsidR="001F5E26" w:rsidRPr="004604C7">
        <w:rPr>
          <w:rFonts w:ascii="Arial" w:hAnsi="Arial" w:cs="Arial"/>
          <w:sz w:val="22"/>
          <w:szCs w:val="22"/>
          <w:lang w:eastAsia="en-GB"/>
        </w:rPr>
        <w:t>Technical and Vocational Education and Training (</w:t>
      </w:r>
      <w:r w:rsidRPr="004604C7">
        <w:rPr>
          <w:rFonts w:ascii="Arial" w:hAnsi="Arial" w:cs="Arial"/>
          <w:sz w:val="22"/>
          <w:szCs w:val="22"/>
          <w:lang w:eastAsia="en-GB"/>
        </w:rPr>
        <w:t>TVET</w:t>
      </w:r>
      <w:r w:rsidR="001F5E26" w:rsidRPr="004604C7">
        <w:rPr>
          <w:rFonts w:ascii="Arial" w:hAnsi="Arial" w:cs="Arial"/>
          <w:sz w:val="22"/>
          <w:szCs w:val="22"/>
          <w:lang w:eastAsia="en-GB"/>
        </w:rPr>
        <w:t>)</w:t>
      </w:r>
      <w:r w:rsidRPr="004604C7">
        <w:rPr>
          <w:rFonts w:ascii="Arial" w:hAnsi="Arial" w:cs="Arial"/>
          <w:sz w:val="22"/>
          <w:szCs w:val="22"/>
          <w:lang w:eastAsia="en-GB"/>
        </w:rPr>
        <w:t xml:space="preserve"> providers increasing the quality of skills training and development opportunities for the GCD economy’s workforce (OP2.2) will increase skills and capacity in MSMEs in the GCD economy in Zambia (SO2) with both SOs contributing to accelerating growth in Zambia through creating and sustaining green, circular, and digital economic opportunities for SMEs, women, men, and youths (OO/Impact).</w:t>
      </w:r>
    </w:p>
    <w:p w14:paraId="4E9B8D20" w14:textId="77777777" w:rsidR="00356D96" w:rsidRPr="004604C7" w:rsidRDefault="00356D96" w:rsidP="00C27128">
      <w:pPr>
        <w:spacing w:line="276" w:lineRule="auto"/>
        <w:jc w:val="both"/>
        <w:rPr>
          <w:rFonts w:ascii="Arial" w:hAnsi="Arial" w:cs="Arial"/>
          <w:color w:val="92D050"/>
          <w:sz w:val="22"/>
          <w:szCs w:val="22"/>
          <w:lang w:eastAsia="en-GB"/>
        </w:rPr>
      </w:pPr>
    </w:p>
    <w:p w14:paraId="4081DF83"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SPECIFIC OBJECTIVES OF THE PRO</w:t>
      </w:r>
      <w:r w:rsidR="00655029" w:rsidRPr="004604C7">
        <w:rPr>
          <w:rFonts w:ascii="Arial" w:eastAsia="Calibri" w:hAnsi="Arial" w:cs="Arial"/>
          <w:color w:val="92D050"/>
        </w:rPr>
        <w:t>JECT</w:t>
      </w:r>
    </w:p>
    <w:p w14:paraId="51688B17" w14:textId="77777777" w:rsidR="00882701" w:rsidRPr="004604C7" w:rsidRDefault="005812AC" w:rsidP="00C27128">
      <w:pPr>
        <w:spacing w:line="276" w:lineRule="auto"/>
        <w:jc w:val="both"/>
        <w:rPr>
          <w:rFonts w:ascii="Arial" w:eastAsia="Calibri" w:hAnsi="Arial" w:cs="Arial"/>
          <w:sz w:val="22"/>
          <w:szCs w:val="22"/>
        </w:rPr>
      </w:pPr>
      <w:r w:rsidRPr="004604C7">
        <w:rPr>
          <w:rFonts w:ascii="Arial" w:eastAsia="Calibri" w:hAnsi="Arial" w:cs="Arial"/>
          <w:sz w:val="22"/>
          <w:szCs w:val="22"/>
        </w:rPr>
        <w:t xml:space="preserve">The   GREENTech4CE </w:t>
      </w:r>
      <w:r w:rsidR="00655029" w:rsidRPr="004604C7">
        <w:rPr>
          <w:rFonts w:ascii="Arial" w:eastAsia="Calibri" w:hAnsi="Arial" w:cs="Arial"/>
          <w:sz w:val="22"/>
          <w:szCs w:val="22"/>
        </w:rPr>
        <w:t>P</w:t>
      </w:r>
      <w:r w:rsidRPr="004604C7">
        <w:rPr>
          <w:rFonts w:ascii="Arial" w:eastAsia="Calibri" w:hAnsi="Arial" w:cs="Arial"/>
          <w:sz w:val="22"/>
          <w:szCs w:val="22"/>
        </w:rPr>
        <w:t xml:space="preserve">roject aims </w:t>
      </w:r>
      <w:sdt>
        <w:sdtPr>
          <w:rPr>
            <w:rFonts w:ascii="Arial" w:hAnsi="Arial" w:cs="Arial"/>
            <w:sz w:val="22"/>
            <w:szCs w:val="22"/>
          </w:rPr>
          <w:tag w:val="goog_rdk_54"/>
          <w:id w:val="-1934510629"/>
        </w:sdtPr>
        <w:sdtContent>
          <w:r w:rsidRPr="004604C7">
            <w:rPr>
              <w:rFonts w:ascii="Arial" w:eastAsia="Calibri" w:hAnsi="Arial" w:cs="Arial"/>
              <w:sz w:val="22"/>
              <w:szCs w:val="22"/>
            </w:rPr>
            <w:t>to</w:t>
          </w:r>
        </w:sdtContent>
      </w:sdt>
      <w:r w:rsidRPr="004604C7">
        <w:rPr>
          <w:rFonts w:ascii="Arial" w:eastAsia="Calibri" w:hAnsi="Arial" w:cs="Arial"/>
          <w:sz w:val="22"/>
          <w:szCs w:val="22"/>
        </w:rPr>
        <w:t xml:space="preserve"> address the challenges MSMEs face </w:t>
      </w:r>
      <w:sdt>
        <w:sdtPr>
          <w:rPr>
            <w:rFonts w:ascii="Arial" w:hAnsi="Arial" w:cs="Arial"/>
            <w:sz w:val="22"/>
            <w:szCs w:val="22"/>
          </w:rPr>
          <w:tag w:val="goog_rdk_57"/>
          <w:id w:val="-415471691"/>
        </w:sdtPr>
        <w:sdtContent>
          <w:r w:rsidRPr="004604C7">
            <w:rPr>
              <w:rFonts w:ascii="Arial" w:eastAsia="Calibri" w:hAnsi="Arial" w:cs="Arial"/>
              <w:sz w:val="22"/>
              <w:szCs w:val="22"/>
            </w:rPr>
            <w:t>in</w:t>
          </w:r>
        </w:sdtContent>
      </w:sdt>
      <w:r w:rsidRPr="004604C7">
        <w:rPr>
          <w:rFonts w:ascii="Arial" w:eastAsia="Calibri" w:hAnsi="Arial" w:cs="Arial"/>
          <w:sz w:val="22"/>
          <w:szCs w:val="22"/>
        </w:rPr>
        <w:t xml:space="preserve"> transition</w:t>
      </w:r>
      <w:sdt>
        <w:sdtPr>
          <w:rPr>
            <w:rFonts w:ascii="Arial" w:hAnsi="Arial" w:cs="Arial"/>
            <w:sz w:val="22"/>
            <w:szCs w:val="22"/>
          </w:rPr>
          <w:tag w:val="goog_rdk_58"/>
          <w:id w:val="-180904673"/>
        </w:sdtPr>
        <w:sdtContent>
          <w:r w:rsidRPr="004604C7">
            <w:rPr>
              <w:rFonts w:ascii="Arial" w:eastAsia="Calibri" w:hAnsi="Arial" w:cs="Arial"/>
              <w:sz w:val="22"/>
              <w:szCs w:val="22"/>
            </w:rPr>
            <w:t>ing</w:t>
          </w:r>
        </w:sdtContent>
      </w:sdt>
      <w:r w:rsidRPr="004604C7">
        <w:rPr>
          <w:rFonts w:ascii="Arial" w:eastAsia="Calibri" w:hAnsi="Arial" w:cs="Arial"/>
          <w:sz w:val="22"/>
          <w:szCs w:val="22"/>
        </w:rPr>
        <w:t xml:space="preserve"> into a sustainable and diversified green, circular, and digital (GCD) economy. The project intends to enhance MSMEs’ capacities through technical assistance and financial support, to increase local value addition </w:t>
      </w:r>
      <w:sdt>
        <w:sdtPr>
          <w:rPr>
            <w:rFonts w:ascii="Arial" w:hAnsi="Arial" w:cs="Arial"/>
            <w:sz w:val="22"/>
            <w:szCs w:val="22"/>
          </w:rPr>
          <w:tag w:val="goog_rdk_60"/>
          <w:id w:val="-473059878"/>
        </w:sdtPr>
        <w:sdtContent>
          <w:r w:rsidRPr="004604C7">
            <w:rPr>
              <w:rFonts w:ascii="Arial" w:eastAsia="Calibri" w:hAnsi="Arial" w:cs="Arial"/>
              <w:sz w:val="22"/>
              <w:szCs w:val="22"/>
            </w:rPr>
            <w:t xml:space="preserve">and </w:t>
          </w:r>
        </w:sdtContent>
      </w:sdt>
      <w:r w:rsidRPr="004604C7">
        <w:rPr>
          <w:rFonts w:ascii="Arial" w:eastAsia="Calibri" w:hAnsi="Arial" w:cs="Arial"/>
          <w:sz w:val="22"/>
          <w:szCs w:val="22"/>
        </w:rPr>
        <w:t>sector diversification, to link value chains associated with CRMs and increase market awareness and access for GCD products. By improving the availability and diversity of financial products for MSMEs and fostering public-private learning and policy advocacy, the project seeks to attract more investments and facilitate MSME growth in Zambia’s GCD economy.</w:t>
      </w:r>
    </w:p>
    <w:p w14:paraId="0A800B08" w14:textId="7ACE53F4" w:rsidR="00BA4F21" w:rsidRDefault="00BA4F21" w:rsidP="00C27128">
      <w:pPr>
        <w:spacing w:line="276" w:lineRule="auto"/>
        <w:jc w:val="both"/>
        <w:rPr>
          <w:rFonts w:ascii="Arial" w:eastAsia="Calibri" w:hAnsi="Arial" w:cs="Arial"/>
          <w:sz w:val="22"/>
          <w:szCs w:val="22"/>
        </w:rPr>
      </w:pPr>
      <w:r w:rsidRPr="004604C7">
        <w:rPr>
          <w:rFonts w:ascii="Arial" w:eastAsia="Calibri" w:hAnsi="Arial" w:cs="Arial"/>
          <w:sz w:val="22"/>
          <w:szCs w:val="22"/>
        </w:rPr>
        <w:t>In addition, from a social inclusion perspective, the project will target 50% women and 75% youth entrepreneurs as participants, enhancing their participation in sustainable GCD economies. The project will also enhance the policy and enabling environment through engagements with government bodies to create an enabling environment for MSMEs and the GCD economy. This will involve fostering public-private sector dialogue and developing policy briefs with recommendations for supportive policies.</w:t>
      </w:r>
    </w:p>
    <w:p w14:paraId="5E87E642" w14:textId="77777777" w:rsidR="00347C65" w:rsidRPr="004604C7" w:rsidRDefault="00347C65" w:rsidP="00C27128">
      <w:pPr>
        <w:spacing w:line="276" w:lineRule="auto"/>
        <w:jc w:val="both"/>
        <w:rPr>
          <w:rFonts w:ascii="Arial" w:eastAsia="Calibri" w:hAnsi="Arial" w:cs="Arial"/>
          <w:b/>
          <w:bCs/>
          <w:color w:val="92D050"/>
          <w:sz w:val="22"/>
          <w:szCs w:val="22"/>
        </w:rPr>
      </w:pPr>
    </w:p>
    <w:p w14:paraId="476EBBB8" w14:textId="159EDC8F" w:rsidR="005812AC" w:rsidRDefault="00ED2F36" w:rsidP="00C27128">
      <w:pPr>
        <w:spacing w:line="276" w:lineRule="auto"/>
        <w:jc w:val="both"/>
        <w:rPr>
          <w:rFonts w:ascii="Arial" w:eastAsia="Calibri" w:hAnsi="Arial" w:cs="Arial"/>
          <w:sz w:val="22"/>
          <w:szCs w:val="22"/>
        </w:rPr>
      </w:pPr>
      <w:r w:rsidRPr="004604C7">
        <w:rPr>
          <w:rFonts w:ascii="Arial" w:eastAsia="Calibri" w:hAnsi="Arial" w:cs="Arial"/>
          <w:sz w:val="22"/>
          <w:szCs w:val="22"/>
        </w:rPr>
        <w:t xml:space="preserve">The Project Logical Framework (Logframe) is provided in the appendix for reference. It outlines the project’s overall goal, objectives, expected outcomes, outputs, and key performance indicators that will guide this mid-term review. The Consultant is expected to use the Logframe to assess the </w:t>
      </w:r>
      <w:r w:rsidR="00BA4F21" w:rsidRPr="004604C7">
        <w:rPr>
          <w:rFonts w:ascii="Arial" w:eastAsia="Calibri" w:hAnsi="Arial" w:cs="Arial"/>
          <w:sz w:val="22"/>
          <w:szCs w:val="22"/>
        </w:rPr>
        <w:t>P</w:t>
      </w:r>
      <w:r w:rsidRPr="004604C7">
        <w:rPr>
          <w:rFonts w:ascii="Arial" w:eastAsia="Calibri" w:hAnsi="Arial" w:cs="Arial"/>
          <w:sz w:val="22"/>
          <w:szCs w:val="22"/>
        </w:rPr>
        <w:t>roject’s progress against planned targets, verify the relevance and coherence of objectives, and examine the extent to which activities and outputs are contributing to intended results.</w:t>
      </w:r>
    </w:p>
    <w:p w14:paraId="73F880A9" w14:textId="77777777" w:rsidR="00C81ABF" w:rsidRPr="004604C7" w:rsidRDefault="00C81ABF" w:rsidP="00C27128">
      <w:pPr>
        <w:spacing w:line="276" w:lineRule="auto"/>
        <w:jc w:val="both"/>
        <w:rPr>
          <w:rFonts w:ascii="Arial" w:eastAsia="Calibri" w:hAnsi="Arial" w:cs="Arial"/>
          <w:sz w:val="22"/>
          <w:szCs w:val="22"/>
        </w:rPr>
      </w:pPr>
    </w:p>
    <w:p w14:paraId="041913B1"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PROGRESS TO DATE</w:t>
      </w:r>
    </w:p>
    <w:p w14:paraId="511519F5" w14:textId="1258F80F" w:rsidR="00324C26" w:rsidRPr="004604C7" w:rsidRDefault="00472C9A" w:rsidP="00C27128">
      <w:pPr>
        <w:spacing w:line="276" w:lineRule="auto"/>
        <w:jc w:val="both"/>
        <w:rPr>
          <w:rFonts w:ascii="Arial" w:hAnsi="Arial" w:cs="Arial"/>
          <w:sz w:val="22"/>
          <w:szCs w:val="22"/>
          <w:lang w:eastAsia="en-GB"/>
        </w:rPr>
      </w:pPr>
      <w:r w:rsidRPr="004604C7">
        <w:rPr>
          <w:rFonts w:ascii="Arial" w:hAnsi="Arial" w:cs="Arial"/>
          <w:sz w:val="22"/>
          <w:szCs w:val="22"/>
          <w:lang w:eastAsia="en-GB"/>
        </w:rPr>
        <w:t>The GREENTech4CE project has, to date, successfully launched four</w:t>
      </w:r>
      <w:r w:rsidR="00460F38">
        <w:rPr>
          <w:rFonts w:ascii="Arial" w:hAnsi="Arial" w:cs="Arial"/>
          <w:sz w:val="22"/>
          <w:szCs w:val="22"/>
          <w:lang w:eastAsia="en-GB"/>
        </w:rPr>
        <w:t xml:space="preserve"> (4)</w:t>
      </w:r>
      <w:r w:rsidRPr="004604C7">
        <w:rPr>
          <w:rFonts w:ascii="Arial" w:hAnsi="Arial" w:cs="Arial"/>
          <w:sz w:val="22"/>
          <w:szCs w:val="22"/>
          <w:lang w:eastAsia="en-GB"/>
        </w:rPr>
        <w:t xml:space="preserve"> Calls for Proposals designed to promote the growth of MSMEs and startups engaged in Zambia’s green, circular, and digital economy, including activities linked to critical raw materials (CRM).</w:t>
      </w:r>
    </w:p>
    <w:p w14:paraId="3191AFBC" w14:textId="77777777" w:rsidR="00E76E29" w:rsidRPr="004604C7" w:rsidRDefault="00E76E29" w:rsidP="00C27128">
      <w:pPr>
        <w:spacing w:line="276" w:lineRule="auto"/>
        <w:jc w:val="both"/>
        <w:rPr>
          <w:rFonts w:ascii="Arial" w:hAnsi="Arial" w:cs="Arial"/>
          <w:sz w:val="22"/>
          <w:szCs w:val="22"/>
          <w:lang w:eastAsia="en-GB"/>
        </w:rPr>
      </w:pPr>
    </w:p>
    <w:p w14:paraId="03E5A8C1" w14:textId="36F949AF" w:rsidR="00944AEB" w:rsidRDefault="00BA4F21" w:rsidP="00C27128">
      <w:p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The table below provides a summary of the key progress made under each of the four Calls, highlighting their main focus areas, target groups, funding windows, and the outcomes achieved in terms of contracted </w:t>
      </w:r>
      <w:r w:rsidR="00D152F5">
        <w:rPr>
          <w:rFonts w:ascii="Arial" w:hAnsi="Arial" w:cs="Arial"/>
          <w:sz w:val="22"/>
          <w:szCs w:val="22"/>
          <w:lang w:eastAsia="en-GB"/>
        </w:rPr>
        <w:t>companies</w:t>
      </w:r>
      <w:r w:rsidRPr="004604C7">
        <w:rPr>
          <w:rFonts w:ascii="Arial" w:hAnsi="Arial" w:cs="Arial"/>
          <w:sz w:val="22"/>
          <w:szCs w:val="22"/>
          <w:lang w:eastAsia="en-GB"/>
        </w:rPr>
        <w:t>.</w:t>
      </w:r>
    </w:p>
    <w:p w14:paraId="7D46BEAC" w14:textId="77777777" w:rsidR="00E823C2" w:rsidRPr="004604C7" w:rsidRDefault="00E823C2" w:rsidP="00C27128">
      <w:pPr>
        <w:spacing w:line="276" w:lineRule="auto"/>
        <w:jc w:val="both"/>
        <w:rPr>
          <w:rFonts w:ascii="Arial" w:hAnsi="Arial" w:cs="Arial"/>
          <w:sz w:val="22"/>
          <w:szCs w:val="22"/>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777"/>
        <w:gridCol w:w="2096"/>
        <w:gridCol w:w="2174"/>
        <w:gridCol w:w="2406"/>
        <w:gridCol w:w="1552"/>
      </w:tblGrid>
      <w:tr w:rsidR="00002E59" w:rsidRPr="004604C7" w14:paraId="2702D57E" w14:textId="77777777" w:rsidTr="00C81ABF">
        <w:trPr>
          <w:tblHeader/>
        </w:trPr>
        <w:tc>
          <w:tcPr>
            <w:tcW w:w="431"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3F20E5A" w14:textId="77777777" w:rsidR="00002E59" w:rsidRPr="004604C7" w:rsidRDefault="00002E59" w:rsidP="00C27128">
            <w:pPr>
              <w:spacing w:line="276" w:lineRule="auto"/>
              <w:jc w:val="both"/>
              <w:rPr>
                <w:rFonts w:ascii="Arial" w:hAnsi="Arial" w:cs="Arial"/>
                <w:b/>
                <w:bCs/>
                <w:color w:val="000000"/>
                <w:sz w:val="22"/>
                <w:szCs w:val="22"/>
              </w:rPr>
            </w:pPr>
            <w:r w:rsidRPr="004604C7">
              <w:rPr>
                <w:rFonts w:ascii="Arial" w:hAnsi="Arial" w:cs="Arial"/>
                <w:b/>
                <w:bCs/>
                <w:color w:val="000000"/>
                <w:sz w:val="22"/>
                <w:szCs w:val="22"/>
              </w:rPr>
              <w:t>Call</w:t>
            </w:r>
          </w:p>
        </w:tc>
        <w:tc>
          <w:tcPr>
            <w:tcW w:w="1164"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81D5263" w14:textId="77777777" w:rsidR="00002E59" w:rsidRPr="004604C7" w:rsidRDefault="00002E59" w:rsidP="00C27128">
            <w:pPr>
              <w:spacing w:line="276" w:lineRule="auto"/>
              <w:jc w:val="both"/>
              <w:rPr>
                <w:rFonts w:ascii="Arial" w:hAnsi="Arial" w:cs="Arial"/>
                <w:b/>
                <w:bCs/>
                <w:color w:val="000000"/>
                <w:sz w:val="22"/>
                <w:szCs w:val="22"/>
              </w:rPr>
            </w:pPr>
            <w:r w:rsidRPr="004604C7">
              <w:rPr>
                <w:rFonts w:ascii="Arial" w:hAnsi="Arial" w:cs="Arial"/>
                <w:b/>
                <w:bCs/>
                <w:color w:val="000000"/>
                <w:sz w:val="22"/>
                <w:szCs w:val="22"/>
              </w:rPr>
              <w:t>Target Group/Focus</w:t>
            </w:r>
          </w:p>
        </w:tc>
        <w:tc>
          <w:tcPr>
            <w:tcW w:w="1207"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488D99" w14:textId="74DA23DE" w:rsidR="00002E59" w:rsidRPr="004604C7" w:rsidRDefault="00002E59" w:rsidP="00C27128">
            <w:pPr>
              <w:spacing w:line="276" w:lineRule="auto"/>
              <w:jc w:val="both"/>
              <w:rPr>
                <w:rFonts w:ascii="Arial" w:hAnsi="Arial" w:cs="Arial"/>
                <w:b/>
                <w:bCs/>
                <w:color w:val="000000"/>
                <w:sz w:val="22"/>
                <w:szCs w:val="22"/>
              </w:rPr>
            </w:pPr>
            <w:r w:rsidRPr="004604C7">
              <w:rPr>
                <w:rFonts w:ascii="Arial" w:hAnsi="Arial" w:cs="Arial"/>
                <w:b/>
                <w:bCs/>
                <w:color w:val="000000"/>
                <w:sz w:val="22"/>
                <w:szCs w:val="22"/>
              </w:rPr>
              <w:t>Ticket Size</w:t>
            </w:r>
          </w:p>
        </w:tc>
        <w:tc>
          <w:tcPr>
            <w:tcW w:w="1336"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D6D0B83" w14:textId="0EEBB44A" w:rsidR="00002E59" w:rsidRPr="004604C7" w:rsidRDefault="00002E59" w:rsidP="00C27128">
            <w:pPr>
              <w:spacing w:line="276" w:lineRule="auto"/>
              <w:jc w:val="both"/>
              <w:rPr>
                <w:rFonts w:ascii="Arial" w:hAnsi="Arial" w:cs="Arial"/>
                <w:b/>
                <w:bCs/>
                <w:color w:val="000000"/>
                <w:sz w:val="22"/>
                <w:szCs w:val="22"/>
              </w:rPr>
            </w:pPr>
            <w:r w:rsidRPr="004604C7">
              <w:rPr>
                <w:rFonts w:ascii="Arial" w:hAnsi="Arial" w:cs="Arial"/>
                <w:b/>
                <w:bCs/>
                <w:color w:val="000000"/>
                <w:sz w:val="22"/>
                <w:szCs w:val="22"/>
              </w:rPr>
              <w:t>Funding Windows</w:t>
            </w:r>
          </w:p>
        </w:tc>
        <w:tc>
          <w:tcPr>
            <w:tcW w:w="862" w:type="pct"/>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B5F6DC4" w14:textId="77777777" w:rsidR="00002E59" w:rsidRPr="004604C7" w:rsidRDefault="00002E59" w:rsidP="00C27128">
            <w:pPr>
              <w:spacing w:line="276" w:lineRule="auto"/>
              <w:jc w:val="both"/>
              <w:rPr>
                <w:rFonts w:ascii="Arial" w:hAnsi="Arial" w:cs="Arial"/>
                <w:b/>
                <w:bCs/>
                <w:color w:val="000000"/>
                <w:sz w:val="22"/>
                <w:szCs w:val="22"/>
              </w:rPr>
            </w:pPr>
            <w:r w:rsidRPr="004604C7">
              <w:rPr>
                <w:rFonts w:ascii="Arial" w:hAnsi="Arial" w:cs="Arial"/>
                <w:b/>
                <w:bCs/>
                <w:color w:val="000000"/>
                <w:sz w:val="22"/>
                <w:szCs w:val="22"/>
              </w:rPr>
              <w:t>Number Contracted</w:t>
            </w:r>
          </w:p>
        </w:tc>
      </w:tr>
      <w:tr w:rsidR="00002E59" w:rsidRPr="004604C7" w14:paraId="314DDFC6" w14:textId="77777777" w:rsidTr="00C81ABF">
        <w:tc>
          <w:tcPr>
            <w:tcW w:w="43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C4FBB8"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Call I</w:t>
            </w:r>
          </w:p>
        </w:tc>
        <w:tc>
          <w:tcPr>
            <w:tcW w:w="116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F99D7B"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Established &amp; start-up medium enterprises seeking scale-up capital</w:t>
            </w:r>
          </w:p>
        </w:tc>
        <w:tc>
          <w:tcPr>
            <w:tcW w:w="12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EAE9A8"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EUR 100,000–500,000</w:t>
            </w:r>
          </w:p>
        </w:tc>
        <w:tc>
          <w:tcPr>
            <w:tcW w:w="133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1282E3"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Women-owned, startups, feasibility studies (up to 70% funded)</w:t>
            </w:r>
          </w:p>
        </w:tc>
        <w:tc>
          <w:tcPr>
            <w:tcW w:w="8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34026D" w14:textId="77D37152"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2 medium enterprises</w:t>
            </w:r>
          </w:p>
        </w:tc>
      </w:tr>
      <w:tr w:rsidR="00002E59" w:rsidRPr="004604C7" w14:paraId="4577C083" w14:textId="77777777" w:rsidTr="00C81ABF">
        <w:tc>
          <w:tcPr>
            <w:tcW w:w="43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8E700C"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Call II</w:t>
            </w:r>
          </w:p>
        </w:tc>
        <w:tc>
          <w:tcPr>
            <w:tcW w:w="116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6D29EA" w14:textId="4327E668"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Established &amp; start-up medium enterprises seeking scale-up capital</w:t>
            </w:r>
          </w:p>
        </w:tc>
        <w:tc>
          <w:tcPr>
            <w:tcW w:w="12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CF6C89"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EUR 100,000–500,000</w:t>
            </w:r>
          </w:p>
        </w:tc>
        <w:tc>
          <w:tcPr>
            <w:tcW w:w="133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839AC3" w14:textId="37E6C96A"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Women-owned, startups, feasibility studies (up to 70% funded)</w:t>
            </w:r>
          </w:p>
        </w:tc>
        <w:tc>
          <w:tcPr>
            <w:tcW w:w="8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D50042"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10 medium enterprises</w:t>
            </w:r>
          </w:p>
        </w:tc>
      </w:tr>
      <w:tr w:rsidR="00002E59" w:rsidRPr="004604C7" w14:paraId="5E50F9AC" w14:textId="77777777" w:rsidTr="00C81ABF">
        <w:tc>
          <w:tcPr>
            <w:tcW w:w="43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2147F2"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Call III</w:t>
            </w:r>
          </w:p>
        </w:tc>
        <w:tc>
          <w:tcPr>
            <w:tcW w:w="116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DD1C708" w14:textId="4695E16B"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Business Development Service Providers to target MSMEs &amp; startups for business growth support</w:t>
            </w:r>
          </w:p>
        </w:tc>
        <w:tc>
          <w:tcPr>
            <w:tcW w:w="12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B3A69D"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Up to EUR 150,000</w:t>
            </w:r>
          </w:p>
        </w:tc>
        <w:tc>
          <w:tcPr>
            <w:tcW w:w="133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0B9433" w14:textId="280A9F6D" w:rsidR="00002E59" w:rsidRPr="004604C7" w:rsidRDefault="00D002DB" w:rsidP="00C81ABF">
            <w:pPr>
              <w:spacing w:line="276" w:lineRule="auto"/>
              <w:rPr>
                <w:rFonts w:ascii="Arial" w:hAnsi="Arial" w:cs="Arial"/>
                <w:color w:val="000000"/>
                <w:sz w:val="22"/>
                <w:szCs w:val="22"/>
              </w:rPr>
            </w:pPr>
            <w:r>
              <w:rPr>
                <w:rFonts w:ascii="Arial" w:hAnsi="Arial" w:cs="Arial"/>
                <w:color w:val="000000"/>
                <w:sz w:val="22"/>
                <w:szCs w:val="22"/>
              </w:rPr>
              <w:t xml:space="preserve">Support </w:t>
            </w:r>
            <w:r w:rsidR="00002E59" w:rsidRPr="004604C7">
              <w:rPr>
                <w:rFonts w:ascii="Arial" w:hAnsi="Arial" w:cs="Arial"/>
                <w:color w:val="000000"/>
                <w:sz w:val="22"/>
                <w:szCs w:val="22"/>
              </w:rPr>
              <w:t>BDSPs to delive</w:t>
            </w:r>
            <w:r>
              <w:rPr>
                <w:rFonts w:ascii="Arial" w:hAnsi="Arial" w:cs="Arial"/>
                <w:color w:val="000000"/>
                <w:sz w:val="22"/>
                <w:szCs w:val="22"/>
              </w:rPr>
              <w:t xml:space="preserve">r services to </w:t>
            </w:r>
            <w:r w:rsidRPr="004604C7">
              <w:rPr>
                <w:rFonts w:ascii="Arial" w:hAnsi="Arial" w:cs="Arial"/>
                <w:color w:val="000000"/>
                <w:sz w:val="22"/>
                <w:szCs w:val="22"/>
              </w:rPr>
              <w:t>MSMEs &amp; startups</w:t>
            </w:r>
            <w:r>
              <w:rPr>
                <w:rFonts w:ascii="Arial" w:hAnsi="Arial" w:cs="Arial"/>
                <w:color w:val="000000"/>
                <w:sz w:val="22"/>
                <w:szCs w:val="22"/>
              </w:rPr>
              <w:t xml:space="preserve"> in the green and circular, digital and artisanal mining sectors</w:t>
            </w:r>
          </w:p>
        </w:tc>
        <w:tc>
          <w:tcPr>
            <w:tcW w:w="8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414716"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6 BDSPs</w:t>
            </w:r>
          </w:p>
        </w:tc>
      </w:tr>
      <w:tr w:rsidR="00002E59" w:rsidRPr="004604C7" w14:paraId="319F5ECE" w14:textId="77777777" w:rsidTr="00C81ABF">
        <w:tc>
          <w:tcPr>
            <w:tcW w:w="431"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871DCA"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Call IV</w:t>
            </w:r>
          </w:p>
        </w:tc>
        <w:tc>
          <w:tcPr>
            <w:tcW w:w="1164"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8EB436"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Financial Service Providers (FSPs) for MSMEs and startups</w:t>
            </w:r>
          </w:p>
        </w:tc>
        <w:tc>
          <w:tcPr>
            <w:tcW w:w="1207"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91E522"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EUR 50,000–250,000 (grant)</w:t>
            </w:r>
          </w:p>
        </w:tc>
        <w:tc>
          <w:tcPr>
            <w:tcW w:w="1336"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102D28"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Design/support custom finance products</w:t>
            </w:r>
          </w:p>
        </w:tc>
        <w:tc>
          <w:tcPr>
            <w:tcW w:w="862" w:type="pc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A12F46" w14:textId="77777777" w:rsidR="00002E59" w:rsidRPr="004604C7" w:rsidRDefault="00002E59" w:rsidP="00C81ABF">
            <w:pPr>
              <w:spacing w:line="276" w:lineRule="auto"/>
              <w:rPr>
                <w:rFonts w:ascii="Arial" w:hAnsi="Arial" w:cs="Arial"/>
                <w:color w:val="000000"/>
                <w:sz w:val="22"/>
                <w:szCs w:val="22"/>
              </w:rPr>
            </w:pPr>
            <w:r w:rsidRPr="004604C7">
              <w:rPr>
                <w:rFonts w:ascii="Arial" w:hAnsi="Arial" w:cs="Arial"/>
                <w:color w:val="000000"/>
                <w:sz w:val="22"/>
                <w:szCs w:val="22"/>
              </w:rPr>
              <w:t>2 FSPs</w:t>
            </w:r>
          </w:p>
        </w:tc>
      </w:tr>
    </w:tbl>
    <w:p w14:paraId="3DDD79C1" w14:textId="77777777" w:rsidR="00BA4F21" w:rsidRPr="004604C7" w:rsidRDefault="00BA4F21" w:rsidP="00C27128">
      <w:pPr>
        <w:spacing w:line="276" w:lineRule="auto"/>
        <w:jc w:val="both"/>
        <w:rPr>
          <w:rFonts w:ascii="Arial" w:hAnsi="Arial" w:cs="Arial"/>
          <w:sz w:val="22"/>
          <w:szCs w:val="22"/>
          <w:lang w:eastAsia="en-GB"/>
        </w:rPr>
      </w:pPr>
    </w:p>
    <w:p w14:paraId="1C879DA0" w14:textId="375E75E4" w:rsidR="00CB46DD" w:rsidRPr="004604C7" w:rsidRDefault="00CB46DD" w:rsidP="00C27128">
      <w:pPr>
        <w:spacing w:line="276" w:lineRule="auto"/>
        <w:jc w:val="both"/>
        <w:rPr>
          <w:rFonts w:ascii="Arial" w:hAnsi="Arial" w:cs="Arial"/>
          <w:sz w:val="22"/>
          <w:szCs w:val="22"/>
          <w:lang w:eastAsia="en-GB"/>
        </w:rPr>
      </w:pPr>
      <w:r w:rsidRPr="004604C7">
        <w:rPr>
          <w:rFonts w:ascii="Arial" w:hAnsi="Arial" w:cs="Arial"/>
          <w:sz w:val="22"/>
          <w:szCs w:val="22"/>
          <w:lang w:eastAsia="en-GB"/>
        </w:rPr>
        <w:t>The Project is currently advancing through the procurement stage for establishing FabLabs. In parallel, targeted consultations have been conducted with TVET institutions to identify opportunities for the Project to support and integrate Circular Economy principles into vocational curricula.</w:t>
      </w:r>
    </w:p>
    <w:p w14:paraId="19B6CEBB" w14:textId="77777777" w:rsidR="00944AEB" w:rsidRPr="004604C7" w:rsidRDefault="00944AEB" w:rsidP="00C27128">
      <w:pPr>
        <w:spacing w:line="276" w:lineRule="auto"/>
        <w:jc w:val="both"/>
        <w:rPr>
          <w:rFonts w:ascii="Arial" w:hAnsi="Arial" w:cs="Arial"/>
          <w:color w:val="92D050"/>
          <w:sz w:val="22"/>
          <w:szCs w:val="22"/>
          <w:lang w:eastAsia="en-GB"/>
        </w:rPr>
      </w:pPr>
    </w:p>
    <w:p w14:paraId="152599FA"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 xml:space="preserve">PURPOSE OF THE MID-TERM REVIEW  </w:t>
      </w:r>
    </w:p>
    <w:p w14:paraId="5E90CE94" w14:textId="5EFA0927" w:rsidR="00944AEB" w:rsidRDefault="00944AEB" w:rsidP="00C27128">
      <w:pPr>
        <w:spacing w:line="276" w:lineRule="auto"/>
        <w:jc w:val="both"/>
        <w:rPr>
          <w:rFonts w:ascii="Arial" w:hAnsi="Arial" w:cs="Arial"/>
          <w:sz w:val="22"/>
          <w:szCs w:val="22"/>
        </w:rPr>
      </w:pPr>
      <w:r w:rsidRPr="004604C7">
        <w:rPr>
          <w:rFonts w:ascii="Arial" w:hAnsi="Arial" w:cs="Arial"/>
          <w:sz w:val="22"/>
          <w:szCs w:val="22"/>
        </w:rPr>
        <w:t>An independent mid-term review will draw upon the findings from baseline studies</w:t>
      </w:r>
      <w:r w:rsidR="005B2031" w:rsidRPr="004604C7">
        <w:rPr>
          <w:rFonts w:ascii="Arial" w:hAnsi="Arial" w:cs="Arial"/>
          <w:sz w:val="22"/>
          <w:szCs w:val="22"/>
        </w:rPr>
        <w:t xml:space="preserve"> and</w:t>
      </w:r>
      <w:r w:rsidRPr="004604C7">
        <w:rPr>
          <w:rFonts w:ascii="Arial" w:hAnsi="Arial" w:cs="Arial"/>
          <w:sz w:val="22"/>
          <w:szCs w:val="22"/>
        </w:rPr>
        <w:t xml:space="preserve"> the monitoring data. The mid-term review will address the progress of the programme and potentially address certain themes in more depth. The mid-term review will also provide recommendations on how </w:t>
      </w:r>
      <w:r w:rsidR="005B2031" w:rsidRPr="004604C7">
        <w:rPr>
          <w:rFonts w:ascii="Arial" w:hAnsi="Arial" w:cs="Arial"/>
          <w:sz w:val="22"/>
          <w:szCs w:val="22"/>
        </w:rPr>
        <w:t>GREENTech4CE</w:t>
      </w:r>
      <w:r w:rsidRPr="004604C7">
        <w:rPr>
          <w:rFonts w:ascii="Arial" w:hAnsi="Arial" w:cs="Arial"/>
          <w:sz w:val="22"/>
          <w:szCs w:val="22"/>
        </w:rPr>
        <w:t xml:space="preserve"> can improve its pr</w:t>
      </w:r>
      <w:r w:rsidR="002860A4">
        <w:rPr>
          <w:rFonts w:ascii="Arial" w:hAnsi="Arial" w:cs="Arial"/>
          <w:sz w:val="22"/>
          <w:szCs w:val="22"/>
        </w:rPr>
        <w:t xml:space="preserve">ogress </w:t>
      </w:r>
      <w:r w:rsidR="002860A4" w:rsidRPr="002860A4">
        <w:rPr>
          <w:rFonts w:ascii="Arial" w:hAnsi="Arial" w:cs="Arial"/>
          <w:sz w:val="22"/>
          <w:szCs w:val="22"/>
        </w:rPr>
        <w:t>and optimize project processes to achieve the intended impact more effectively.</w:t>
      </w:r>
      <w:r w:rsidRPr="004604C7">
        <w:rPr>
          <w:rFonts w:ascii="Arial" w:hAnsi="Arial" w:cs="Arial"/>
          <w:sz w:val="22"/>
          <w:szCs w:val="22"/>
        </w:rPr>
        <w:t xml:space="preserve">  </w:t>
      </w:r>
    </w:p>
    <w:p w14:paraId="218BA5A3" w14:textId="77777777" w:rsidR="00347C65" w:rsidRPr="004604C7" w:rsidRDefault="00347C65" w:rsidP="00C27128">
      <w:pPr>
        <w:spacing w:line="276" w:lineRule="auto"/>
        <w:jc w:val="both"/>
        <w:rPr>
          <w:rFonts w:ascii="Arial" w:hAnsi="Arial" w:cs="Arial"/>
          <w:sz w:val="22"/>
          <w:szCs w:val="22"/>
        </w:rPr>
      </w:pPr>
    </w:p>
    <w:p w14:paraId="7451FDE5" w14:textId="77777777" w:rsidR="00944AEB" w:rsidRPr="004604C7" w:rsidRDefault="00944AEB" w:rsidP="00C27128">
      <w:pPr>
        <w:spacing w:line="276" w:lineRule="auto"/>
        <w:jc w:val="both"/>
        <w:rPr>
          <w:rFonts w:ascii="Arial" w:hAnsi="Arial" w:cs="Arial"/>
          <w:sz w:val="22"/>
          <w:szCs w:val="22"/>
        </w:rPr>
      </w:pPr>
      <w:r w:rsidRPr="004604C7">
        <w:rPr>
          <w:rFonts w:ascii="Arial" w:hAnsi="Arial" w:cs="Arial"/>
          <w:sz w:val="22"/>
          <w:szCs w:val="22"/>
        </w:rPr>
        <w:t>The main purpose of this review will be to provide the</w:t>
      </w:r>
      <w:r w:rsidR="0020731E" w:rsidRPr="004604C7">
        <w:rPr>
          <w:rFonts w:ascii="Arial" w:hAnsi="Arial" w:cs="Arial"/>
          <w:sz w:val="22"/>
          <w:szCs w:val="22"/>
        </w:rPr>
        <w:t xml:space="preserve"> GREENTech4CE</w:t>
      </w:r>
      <w:r w:rsidRPr="004604C7">
        <w:rPr>
          <w:rFonts w:ascii="Arial" w:hAnsi="Arial" w:cs="Arial"/>
          <w:sz w:val="22"/>
          <w:szCs w:val="22"/>
        </w:rPr>
        <w:t xml:space="preserve"> management team and the EU Delegation with an opportunity to reflect on programme performance in terms of: </w:t>
      </w:r>
    </w:p>
    <w:p w14:paraId="08863D3F" w14:textId="77777777" w:rsidR="00944AEB" w:rsidRPr="004604C7" w:rsidRDefault="00944AEB" w:rsidP="00C27128">
      <w:pPr>
        <w:pStyle w:val="ListParagraph"/>
        <w:numPr>
          <w:ilvl w:val="0"/>
          <w:numId w:val="8"/>
        </w:numPr>
        <w:spacing w:after="200" w:line="276" w:lineRule="auto"/>
        <w:jc w:val="both"/>
        <w:rPr>
          <w:rFonts w:ascii="Arial" w:hAnsi="Arial" w:cs="Arial"/>
        </w:rPr>
      </w:pPr>
      <w:r w:rsidRPr="004604C7">
        <w:rPr>
          <w:rFonts w:ascii="Arial" w:hAnsi="Arial" w:cs="Arial"/>
        </w:rPr>
        <w:t xml:space="preserve">what is working well, </w:t>
      </w:r>
    </w:p>
    <w:p w14:paraId="20E84187" w14:textId="77777777" w:rsidR="00944AEB" w:rsidRPr="004604C7" w:rsidRDefault="00944AEB" w:rsidP="00C27128">
      <w:pPr>
        <w:pStyle w:val="ListParagraph"/>
        <w:numPr>
          <w:ilvl w:val="0"/>
          <w:numId w:val="8"/>
        </w:numPr>
        <w:spacing w:after="200" w:line="276" w:lineRule="auto"/>
        <w:jc w:val="both"/>
        <w:rPr>
          <w:rFonts w:ascii="Arial" w:hAnsi="Arial" w:cs="Arial"/>
        </w:rPr>
      </w:pPr>
      <w:r w:rsidRPr="004604C7">
        <w:rPr>
          <w:rFonts w:ascii="Arial" w:hAnsi="Arial" w:cs="Arial"/>
        </w:rPr>
        <w:t xml:space="preserve">what is not working, </w:t>
      </w:r>
    </w:p>
    <w:p w14:paraId="09268EE5" w14:textId="77777777" w:rsidR="00944AEB" w:rsidRPr="004604C7" w:rsidRDefault="00944AEB" w:rsidP="00C27128">
      <w:pPr>
        <w:pStyle w:val="ListParagraph"/>
        <w:numPr>
          <w:ilvl w:val="0"/>
          <w:numId w:val="8"/>
        </w:numPr>
        <w:spacing w:after="200" w:line="276" w:lineRule="auto"/>
        <w:jc w:val="both"/>
        <w:rPr>
          <w:rFonts w:ascii="Arial" w:hAnsi="Arial" w:cs="Arial"/>
        </w:rPr>
      </w:pPr>
      <w:r w:rsidRPr="004604C7">
        <w:rPr>
          <w:rFonts w:ascii="Arial" w:hAnsi="Arial" w:cs="Arial"/>
        </w:rPr>
        <w:t xml:space="preserve">significant factors affecting the programme implementation either positively &amp; negatively </w:t>
      </w:r>
    </w:p>
    <w:p w14:paraId="2744992C" w14:textId="77777777" w:rsidR="00944AEB" w:rsidRPr="004604C7" w:rsidRDefault="00944AEB" w:rsidP="00C27128">
      <w:pPr>
        <w:pStyle w:val="ListParagraph"/>
        <w:numPr>
          <w:ilvl w:val="0"/>
          <w:numId w:val="8"/>
        </w:numPr>
        <w:spacing w:after="200" w:line="276" w:lineRule="auto"/>
        <w:jc w:val="both"/>
        <w:rPr>
          <w:rFonts w:ascii="Arial" w:hAnsi="Arial" w:cs="Arial"/>
        </w:rPr>
      </w:pPr>
      <w:r w:rsidRPr="004604C7">
        <w:rPr>
          <w:rFonts w:ascii="Arial" w:hAnsi="Arial" w:cs="Arial"/>
        </w:rPr>
        <w:t>the changes that need to be made on the strategies and approaches used in programme implementation to accelerate delivery of results and impacts during the residual implementation time;</w:t>
      </w:r>
    </w:p>
    <w:p w14:paraId="0DB4E662" w14:textId="77777777" w:rsidR="00944AEB" w:rsidRPr="004604C7" w:rsidRDefault="00944AEB" w:rsidP="00C27128">
      <w:pPr>
        <w:pStyle w:val="ListParagraph"/>
        <w:numPr>
          <w:ilvl w:val="0"/>
          <w:numId w:val="8"/>
        </w:numPr>
        <w:spacing w:line="276" w:lineRule="auto"/>
        <w:jc w:val="both"/>
        <w:rPr>
          <w:rFonts w:ascii="Arial" w:hAnsi="Arial" w:cs="Arial"/>
        </w:rPr>
      </w:pPr>
      <w:r w:rsidRPr="004604C7">
        <w:rPr>
          <w:rFonts w:ascii="Arial" w:hAnsi="Arial" w:cs="Arial"/>
        </w:rPr>
        <w:t xml:space="preserve">to understand the performance of the intervention and the reasons behind it in order to inform the planning of the future EU interventions </w:t>
      </w:r>
    </w:p>
    <w:p w14:paraId="6FF6F652" w14:textId="77777777" w:rsidR="00944AEB" w:rsidRPr="004604C7" w:rsidRDefault="00944AEB" w:rsidP="00C27128">
      <w:pPr>
        <w:spacing w:after="200" w:line="276" w:lineRule="auto"/>
        <w:jc w:val="both"/>
        <w:rPr>
          <w:rFonts w:ascii="Arial" w:hAnsi="Arial" w:cs="Arial"/>
          <w:sz w:val="22"/>
          <w:szCs w:val="22"/>
        </w:rPr>
      </w:pPr>
      <w:r w:rsidRPr="004604C7">
        <w:rPr>
          <w:rFonts w:ascii="Arial" w:hAnsi="Arial" w:cs="Arial"/>
          <w:sz w:val="22"/>
          <w:szCs w:val="22"/>
        </w:rPr>
        <w:t>Some potential questions to answer through the mid-term review will include:</w:t>
      </w:r>
    </w:p>
    <w:p w14:paraId="77E08DEC"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 xml:space="preserve">Does our ‘intervention logic’ still hold true? i.e. does the log-frame reflect reality? Is our theory of change </w:t>
      </w:r>
      <w:r w:rsidRPr="004604C7">
        <w:rPr>
          <w:rFonts w:ascii="Arial" w:hAnsi="Arial" w:cs="Arial"/>
          <w:i/>
        </w:rPr>
        <w:t>“by doing these activities we will be able to achieve this”</w:t>
      </w:r>
      <w:r w:rsidRPr="004604C7">
        <w:rPr>
          <w:rFonts w:ascii="Arial" w:hAnsi="Arial" w:cs="Arial"/>
        </w:rPr>
        <w:t xml:space="preserve"> still valid? Does it need any changes?</w:t>
      </w:r>
    </w:p>
    <w:p w14:paraId="7CB17F42"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 xml:space="preserve">What parts of the project are working well? What strategies and approaches are working well? </w:t>
      </w:r>
    </w:p>
    <w:p w14:paraId="406BEFCD"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 xml:space="preserve">What are the main challenges we are facing? How can we seek to overcome them? </w:t>
      </w:r>
    </w:p>
    <w:p w14:paraId="07DB69D0"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Are we reaching the people we intended to reach with this project? Do we have reliable information to tell if our project targeting is on track?</w:t>
      </w:r>
    </w:p>
    <w:p w14:paraId="0776F7FB"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Are there any aspects of the project that could be done in a more efficient and effective way within the budget available (without compromising on the quality and intended outcomes of the project)?</w:t>
      </w:r>
    </w:p>
    <w:p w14:paraId="7A13FA1F"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Have there been any changes in the context that we are operating in since the beginning of the project? Have any of these changes affected (positively/negatively) the project? Are there any other contextual changes anticipated? (Think in terms of changes in government services, with other service providers or donors, and political, social and economic changes)</w:t>
      </w:r>
    </w:p>
    <w:p w14:paraId="6B6F8254"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Have salient risks been identified: the legal, financial and reputational risks that the Fund Manager is exposed to because of its legal status and contractual agreements? Are there adequate plans in place to mitigate the key risks?</w:t>
      </w:r>
    </w:p>
    <w:p w14:paraId="2FE7AF27"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 xml:space="preserve">Have we learned any crucial information that would be useful for other people to know who are implementing similar projects? Are there any things that have arisen that you wish you knew when you started the project? </w:t>
      </w:r>
    </w:p>
    <w:p w14:paraId="2AB9C248" w14:textId="77777777" w:rsidR="003A1F92"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Do any systems, procedures, roles, responsibilities need to be clarified, reviewed or re-communicated?</w:t>
      </w:r>
    </w:p>
    <w:p w14:paraId="66372E87" w14:textId="741B799F" w:rsidR="00944AEB" w:rsidRPr="003A1F92" w:rsidRDefault="003A1F92"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 xml:space="preserve">Are we on track to meet our targets? Are there any major ‘red flags’ at this stage that we need to tackle? Are we likely to meet the targets we set? </w:t>
      </w:r>
      <w:r w:rsidR="00944AEB" w:rsidRPr="003A1F92">
        <w:rPr>
          <w:rFonts w:ascii="Arial" w:hAnsi="Arial" w:cs="Arial"/>
        </w:rPr>
        <w:t xml:space="preserve"> </w:t>
      </w:r>
    </w:p>
    <w:p w14:paraId="6E00D632" w14:textId="77777777" w:rsidR="00944AEB" w:rsidRPr="004604C7" w:rsidRDefault="00944AEB" w:rsidP="00C27128">
      <w:pPr>
        <w:pStyle w:val="ListParagraph"/>
        <w:numPr>
          <w:ilvl w:val="0"/>
          <w:numId w:val="9"/>
        </w:numPr>
        <w:spacing w:after="120" w:line="276" w:lineRule="auto"/>
        <w:ind w:left="425" w:hanging="425"/>
        <w:contextualSpacing w:val="0"/>
        <w:jc w:val="both"/>
        <w:rPr>
          <w:rFonts w:ascii="Arial" w:hAnsi="Arial" w:cs="Arial"/>
        </w:rPr>
      </w:pPr>
      <w:r w:rsidRPr="004604C7">
        <w:rPr>
          <w:rFonts w:ascii="Arial" w:hAnsi="Arial" w:cs="Arial"/>
        </w:rPr>
        <w:t>What are the key recommendations that have arisen out of this review that, if implemented will improve future project implementation?</w:t>
      </w:r>
    </w:p>
    <w:p w14:paraId="5CFDF080" w14:textId="2A458280" w:rsidR="00944AEB" w:rsidRPr="004604C7" w:rsidRDefault="003A1F92" w:rsidP="00C27128">
      <w:pPr>
        <w:spacing w:line="276" w:lineRule="auto"/>
        <w:contextualSpacing/>
        <w:jc w:val="both"/>
        <w:rPr>
          <w:rFonts w:ascii="Arial" w:hAnsi="Arial" w:cs="Arial"/>
          <w:sz w:val="22"/>
          <w:szCs w:val="22"/>
        </w:rPr>
      </w:pPr>
      <w:r w:rsidRPr="003A1F92">
        <w:rPr>
          <w:rFonts w:ascii="Arial" w:hAnsi="Arial" w:cs="Arial"/>
          <w:sz w:val="22"/>
          <w:szCs w:val="22"/>
        </w:rPr>
        <w:t>The review shall primarily assess the implementation of project activities, examining whether they are on track, being executed as planned, and remain relevant to achieving the project objectives.</w:t>
      </w:r>
      <w:r>
        <w:rPr>
          <w:rFonts w:ascii="Arial" w:hAnsi="Arial" w:cs="Arial"/>
          <w:sz w:val="22"/>
          <w:szCs w:val="22"/>
        </w:rPr>
        <w:t xml:space="preserve"> </w:t>
      </w:r>
      <w:r w:rsidRPr="003A1F92">
        <w:rPr>
          <w:rFonts w:ascii="Arial" w:hAnsi="Arial" w:cs="Arial"/>
          <w:sz w:val="22"/>
          <w:szCs w:val="22"/>
        </w:rPr>
        <w:t>The results outlined in the Logfram</w:t>
      </w:r>
      <w:r>
        <w:rPr>
          <w:rFonts w:ascii="Arial" w:hAnsi="Arial" w:cs="Arial"/>
          <w:sz w:val="22"/>
          <w:szCs w:val="22"/>
        </w:rPr>
        <w:t>e</w:t>
      </w:r>
      <w:r w:rsidRPr="003A1F92">
        <w:rPr>
          <w:rFonts w:ascii="Arial" w:hAnsi="Arial" w:cs="Arial"/>
          <w:sz w:val="22"/>
          <w:szCs w:val="22"/>
        </w:rPr>
        <w:t xml:space="preserve"> will serve as a reference for </w:t>
      </w:r>
      <w:r>
        <w:rPr>
          <w:rFonts w:ascii="Arial" w:hAnsi="Arial" w:cs="Arial"/>
          <w:sz w:val="22"/>
          <w:szCs w:val="22"/>
        </w:rPr>
        <w:t xml:space="preserve">the </w:t>
      </w:r>
      <w:r w:rsidRPr="003A1F92">
        <w:rPr>
          <w:rFonts w:ascii="Arial" w:hAnsi="Arial" w:cs="Arial"/>
          <w:sz w:val="22"/>
          <w:szCs w:val="22"/>
        </w:rPr>
        <w:t>assessment.</w:t>
      </w:r>
      <w:r>
        <w:rPr>
          <w:rFonts w:ascii="Arial" w:hAnsi="Arial" w:cs="Arial"/>
          <w:sz w:val="22"/>
          <w:szCs w:val="22"/>
        </w:rPr>
        <w:t xml:space="preserve"> </w:t>
      </w:r>
      <w:r w:rsidR="00944AEB" w:rsidRPr="004604C7">
        <w:rPr>
          <w:rFonts w:ascii="Arial" w:hAnsi="Arial" w:cs="Arial"/>
          <w:sz w:val="22"/>
          <w:szCs w:val="22"/>
        </w:rPr>
        <w:t xml:space="preserve">The review findings should make qualified statements on the question of to what extent </w:t>
      </w:r>
      <w:r>
        <w:rPr>
          <w:rFonts w:ascii="Arial" w:hAnsi="Arial" w:cs="Arial"/>
          <w:sz w:val="22"/>
          <w:szCs w:val="22"/>
        </w:rPr>
        <w:t>will</w:t>
      </w:r>
      <w:r w:rsidR="00944AEB" w:rsidRPr="004604C7">
        <w:rPr>
          <w:rFonts w:ascii="Arial" w:hAnsi="Arial" w:cs="Arial"/>
          <w:sz w:val="22"/>
          <w:szCs w:val="22"/>
        </w:rPr>
        <w:t xml:space="preserve"> the project achieve its intended objectives. The review should also scope out recommendations for future use of the findings/ learnings within the organization and beyond.</w:t>
      </w:r>
    </w:p>
    <w:p w14:paraId="150051D1" w14:textId="77777777" w:rsidR="00944AEB" w:rsidRPr="004604C7" w:rsidRDefault="00944AEB" w:rsidP="00C27128">
      <w:pPr>
        <w:pStyle w:val="BodyTextIndent"/>
        <w:spacing w:line="276" w:lineRule="auto"/>
        <w:ind w:left="0"/>
        <w:jc w:val="both"/>
        <w:rPr>
          <w:rFonts w:ascii="Arial" w:eastAsia="Calibri" w:hAnsi="Arial" w:cs="Arial"/>
          <w:b/>
          <w:bCs/>
          <w:color w:val="92D050"/>
        </w:rPr>
      </w:pPr>
    </w:p>
    <w:p w14:paraId="484F874E"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KEY QUESTIONS FOR THE MID-TERM REVIEW</w:t>
      </w:r>
    </w:p>
    <w:p w14:paraId="2E06A702" w14:textId="77EDB4B6" w:rsidR="00944AEB" w:rsidRPr="004604C7" w:rsidRDefault="00B51A83" w:rsidP="00C27128">
      <w:pPr>
        <w:pStyle w:val="BodyTextIndent"/>
        <w:spacing w:line="276" w:lineRule="auto"/>
        <w:ind w:left="0"/>
        <w:jc w:val="both"/>
        <w:rPr>
          <w:rFonts w:ascii="Arial" w:eastAsia="Calibri" w:hAnsi="Arial" w:cs="Arial"/>
        </w:rPr>
      </w:pPr>
      <w:r w:rsidRPr="00B51A83">
        <w:rPr>
          <w:rFonts w:ascii="Arial" w:eastAsia="Calibri" w:hAnsi="Arial" w:cs="Arial"/>
        </w:rPr>
        <w:t xml:space="preserve">The Review will consider the four DAC criteria of relevance, coherence, efficiency, and effectiveness. While the full set of DAC criteria also includes impact and sustainability, this Review will focus specifically on these four aspects to assess the project’s implementation and progress. The selection of criteria aligns with the primary objectives and scope of this mid-term </w:t>
      </w:r>
      <w:r w:rsidR="00417ECF">
        <w:rPr>
          <w:rFonts w:ascii="Arial" w:eastAsia="Calibri" w:hAnsi="Arial" w:cs="Arial"/>
        </w:rPr>
        <w:t>review</w:t>
      </w:r>
      <w:r w:rsidRPr="00B51A83">
        <w:rPr>
          <w:rFonts w:ascii="Arial" w:eastAsia="Calibri" w:hAnsi="Arial" w:cs="Arial"/>
        </w:rPr>
        <w:t>.</w:t>
      </w:r>
    </w:p>
    <w:p w14:paraId="5041D23D" w14:textId="77777777" w:rsidR="00944AEB" w:rsidRPr="004604C7" w:rsidRDefault="00944AEB" w:rsidP="00C27128">
      <w:pPr>
        <w:pStyle w:val="ListParagraph"/>
        <w:numPr>
          <w:ilvl w:val="0"/>
          <w:numId w:val="38"/>
        </w:numPr>
        <w:spacing w:after="0" w:line="276" w:lineRule="auto"/>
        <w:jc w:val="both"/>
        <w:rPr>
          <w:rFonts w:ascii="Arial" w:eastAsia="Times New Roman" w:hAnsi="Arial" w:cs="Arial"/>
          <w:lang w:eastAsia="en-GB"/>
        </w:rPr>
      </w:pPr>
      <w:r w:rsidRPr="004604C7">
        <w:rPr>
          <w:rFonts w:ascii="Arial" w:hAnsi="Arial" w:cs="Arial"/>
        </w:rPr>
        <w:t>Relevance:</w:t>
      </w:r>
      <w:r w:rsidRPr="004604C7">
        <w:rPr>
          <w:rFonts w:ascii="Arial" w:eastAsia="Times New Roman" w:hAnsi="Arial" w:cs="Arial"/>
          <w:lang w:eastAsia="en-GB"/>
        </w:rPr>
        <w:t xml:space="preserve"> </w:t>
      </w:r>
      <w:r w:rsidRPr="004604C7">
        <w:rPr>
          <w:rFonts w:ascii="Arial" w:hAnsi="Arial" w:cs="Arial"/>
        </w:rPr>
        <w:t xml:space="preserve">The extent to which the programme is suited to the priorities of the </w:t>
      </w:r>
      <w:r w:rsidR="0018731F" w:rsidRPr="004604C7">
        <w:rPr>
          <w:rFonts w:ascii="Arial" w:hAnsi="Arial" w:cs="Arial"/>
        </w:rPr>
        <w:t xml:space="preserve">start-ups, </w:t>
      </w:r>
      <w:r w:rsidR="000910C7" w:rsidRPr="004604C7">
        <w:rPr>
          <w:rFonts w:ascii="Arial" w:hAnsi="Arial" w:cs="Arial"/>
        </w:rPr>
        <w:t>MSMEs,</w:t>
      </w:r>
      <w:r w:rsidRPr="004604C7">
        <w:rPr>
          <w:rFonts w:ascii="Arial" w:hAnsi="Arial" w:cs="Arial"/>
        </w:rPr>
        <w:t xml:space="preserve"> the Fund Manager and development partners.</w:t>
      </w:r>
    </w:p>
    <w:p w14:paraId="082B5830"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is the pro</w:t>
      </w:r>
      <w:r w:rsidR="00356E5D" w:rsidRPr="004604C7">
        <w:rPr>
          <w:rFonts w:ascii="Arial" w:hAnsi="Arial" w:cs="Arial"/>
        </w:rPr>
        <w:t>ject</w:t>
      </w:r>
      <w:r w:rsidRPr="004604C7">
        <w:rPr>
          <w:rFonts w:ascii="Arial" w:hAnsi="Arial" w:cs="Arial"/>
        </w:rPr>
        <w:t xml:space="preserve"> objectives and design responding to the final beneficiaries’ needs and priorities?</w:t>
      </w:r>
    </w:p>
    <w:p w14:paraId="01E2DDBE"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w:t>
      </w:r>
      <w:r w:rsidR="00C9791E" w:rsidRPr="004604C7">
        <w:rPr>
          <w:rFonts w:ascii="Arial" w:hAnsi="Arial" w:cs="Arial"/>
        </w:rPr>
        <w:t>t</w:t>
      </w:r>
      <w:r w:rsidRPr="004604C7">
        <w:rPr>
          <w:rFonts w:ascii="Arial" w:hAnsi="Arial" w:cs="Arial"/>
        </w:rPr>
        <w:t xml:space="preserve"> the institutional arrangements/implementation modalities selected were appropriate to reach the most vulnerab</w:t>
      </w:r>
      <w:r w:rsidR="00C9791E" w:rsidRPr="004604C7">
        <w:rPr>
          <w:rFonts w:ascii="Arial" w:hAnsi="Arial" w:cs="Arial"/>
        </w:rPr>
        <w:t xml:space="preserve">le </w:t>
      </w:r>
      <w:r w:rsidR="0018731F" w:rsidRPr="004604C7">
        <w:rPr>
          <w:rFonts w:ascii="Arial" w:hAnsi="Arial" w:cs="Arial"/>
        </w:rPr>
        <w:t xml:space="preserve">start-ups and </w:t>
      </w:r>
      <w:r w:rsidR="00C9791E" w:rsidRPr="004604C7">
        <w:rPr>
          <w:rFonts w:ascii="Arial" w:hAnsi="Arial" w:cs="Arial"/>
        </w:rPr>
        <w:t>MSMEs in the green, circular and digital econom</w:t>
      </w:r>
      <w:r w:rsidR="00BF7378" w:rsidRPr="004604C7">
        <w:rPr>
          <w:rFonts w:ascii="Arial" w:hAnsi="Arial" w:cs="Arial"/>
        </w:rPr>
        <w:t>y</w:t>
      </w:r>
      <w:r w:rsidR="00C9791E" w:rsidRPr="004604C7">
        <w:rPr>
          <w:rFonts w:ascii="Arial" w:hAnsi="Arial" w:cs="Arial"/>
        </w:rPr>
        <w:t>, including CRM</w:t>
      </w:r>
      <w:r w:rsidRPr="004604C7">
        <w:rPr>
          <w:rFonts w:ascii="Arial" w:hAnsi="Arial" w:cs="Arial"/>
        </w:rPr>
        <w:t>?</w:t>
      </w:r>
    </w:p>
    <w:p w14:paraId="77616D41"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 xml:space="preserve">How relevant is the blended finance facility to the country’s </w:t>
      </w:r>
      <w:r w:rsidR="00C20ABD" w:rsidRPr="004604C7">
        <w:rPr>
          <w:rFonts w:ascii="Arial" w:hAnsi="Arial" w:cs="Arial"/>
        </w:rPr>
        <w:t>green, circular and digital econom</w:t>
      </w:r>
      <w:r w:rsidR="00BF7378" w:rsidRPr="004604C7">
        <w:rPr>
          <w:rFonts w:ascii="Arial" w:hAnsi="Arial" w:cs="Arial"/>
        </w:rPr>
        <w:t>y</w:t>
      </w:r>
      <w:r w:rsidR="00C20ABD" w:rsidRPr="004604C7">
        <w:rPr>
          <w:rFonts w:ascii="Arial" w:hAnsi="Arial" w:cs="Arial"/>
        </w:rPr>
        <w:t>, including CRM</w:t>
      </w:r>
      <w:r w:rsidRPr="004604C7">
        <w:rPr>
          <w:rFonts w:ascii="Arial" w:hAnsi="Arial" w:cs="Arial"/>
        </w:rPr>
        <w:t xml:space="preserve"> sector priorities and private sector development strategy? </w:t>
      </w:r>
    </w:p>
    <w:p w14:paraId="6FA94F66"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 xml:space="preserve">Are the outcome areas (still) relevant to the target beneficiaries? </w:t>
      </w:r>
      <w:r w:rsidR="00C20ABD" w:rsidRPr="004604C7">
        <w:rPr>
          <w:rFonts w:ascii="Arial" w:hAnsi="Arial" w:cs="Arial"/>
        </w:rPr>
        <w:t xml:space="preserve"> </w:t>
      </w:r>
    </w:p>
    <w:p w14:paraId="4D57E554"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 xml:space="preserve">Are there any other interventions that should have been considered? </w:t>
      </w:r>
    </w:p>
    <w:p w14:paraId="4005A94C" w14:textId="77777777" w:rsidR="00944AEB" w:rsidRPr="004604C7" w:rsidRDefault="00944AEB" w:rsidP="00C27128">
      <w:pPr>
        <w:spacing w:line="276" w:lineRule="auto"/>
        <w:jc w:val="both"/>
        <w:rPr>
          <w:rFonts w:ascii="Arial" w:hAnsi="Arial" w:cs="Arial"/>
          <w:sz w:val="22"/>
          <w:szCs w:val="22"/>
        </w:rPr>
      </w:pPr>
    </w:p>
    <w:p w14:paraId="343CA406" w14:textId="77777777" w:rsidR="00944AEB" w:rsidRPr="004604C7" w:rsidRDefault="00944AEB" w:rsidP="00C27128">
      <w:pPr>
        <w:pStyle w:val="ListParagraph"/>
        <w:numPr>
          <w:ilvl w:val="0"/>
          <w:numId w:val="38"/>
        </w:numPr>
        <w:spacing w:after="0" w:line="276" w:lineRule="auto"/>
        <w:jc w:val="both"/>
        <w:rPr>
          <w:rFonts w:ascii="Arial" w:hAnsi="Arial" w:cs="Arial"/>
        </w:rPr>
      </w:pPr>
      <w:r w:rsidRPr="004604C7">
        <w:rPr>
          <w:rFonts w:ascii="Arial" w:hAnsi="Arial" w:cs="Arial"/>
        </w:rPr>
        <w:t xml:space="preserve">Coherence: The compatibility of the programme with other interventions in the country and </w:t>
      </w:r>
      <w:r w:rsidR="00BF22E3" w:rsidRPr="004604C7">
        <w:rPr>
          <w:rFonts w:ascii="Arial" w:hAnsi="Arial" w:cs="Arial"/>
        </w:rPr>
        <w:t>the green, circular and digital econom</w:t>
      </w:r>
      <w:r w:rsidR="00BF7378" w:rsidRPr="004604C7">
        <w:rPr>
          <w:rFonts w:ascii="Arial" w:hAnsi="Arial" w:cs="Arial"/>
        </w:rPr>
        <w:t>y</w:t>
      </w:r>
      <w:r w:rsidR="00BF22E3" w:rsidRPr="004604C7">
        <w:rPr>
          <w:rFonts w:ascii="Arial" w:hAnsi="Arial" w:cs="Arial"/>
        </w:rPr>
        <w:t>, including CRM</w:t>
      </w:r>
      <w:r w:rsidRPr="004604C7">
        <w:rPr>
          <w:rFonts w:ascii="Arial" w:hAnsi="Arial" w:cs="Arial"/>
        </w:rPr>
        <w:t xml:space="preserve"> sector. </w:t>
      </w:r>
    </w:p>
    <w:p w14:paraId="156D44BC"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do key sector policies (</w:t>
      </w:r>
      <w:r w:rsidR="00BF7378" w:rsidRPr="004604C7">
        <w:rPr>
          <w:rFonts w:ascii="Arial" w:hAnsi="Arial" w:cs="Arial"/>
        </w:rPr>
        <w:t>green, circular and digital eco</w:t>
      </w:r>
      <w:r w:rsidR="00551FDB" w:rsidRPr="004604C7">
        <w:rPr>
          <w:rFonts w:ascii="Arial" w:hAnsi="Arial" w:cs="Arial"/>
        </w:rPr>
        <w:t>nomy</w:t>
      </w:r>
      <w:r w:rsidR="00BF7378" w:rsidRPr="004604C7">
        <w:rPr>
          <w:rFonts w:ascii="Arial" w:hAnsi="Arial" w:cs="Arial"/>
        </w:rPr>
        <w:t>,</w:t>
      </w:r>
      <w:r w:rsidR="00560CCD" w:rsidRPr="004604C7">
        <w:rPr>
          <w:rFonts w:ascii="Arial" w:hAnsi="Arial" w:cs="Arial"/>
        </w:rPr>
        <w:t xml:space="preserve"> </w:t>
      </w:r>
      <w:r w:rsidR="00BF7378" w:rsidRPr="004604C7">
        <w:rPr>
          <w:rFonts w:ascii="Arial" w:hAnsi="Arial" w:cs="Arial"/>
        </w:rPr>
        <w:t>CRM</w:t>
      </w:r>
      <w:r w:rsidRPr="004604C7">
        <w:rPr>
          <w:rFonts w:ascii="Arial" w:hAnsi="Arial" w:cs="Arial"/>
        </w:rPr>
        <w:t xml:space="preserve">, private sector development etc.) support or impede the implementation of the </w:t>
      </w:r>
      <w:r w:rsidR="00730574" w:rsidRPr="004604C7">
        <w:rPr>
          <w:rFonts w:ascii="Arial" w:hAnsi="Arial" w:cs="Arial"/>
        </w:rPr>
        <w:t>GREENTech4CE</w:t>
      </w:r>
      <w:r w:rsidRPr="004604C7">
        <w:rPr>
          <w:rFonts w:ascii="Arial" w:hAnsi="Arial" w:cs="Arial"/>
        </w:rPr>
        <w:t xml:space="preserve"> Project? </w:t>
      </w:r>
    </w:p>
    <w:p w14:paraId="1BF2AFE0"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are the coordination structures effective in complementing implementation of similar interventions supported by GRZ and donors to prevent duplication of efforts?</w:t>
      </w:r>
    </w:p>
    <w:p w14:paraId="4851D41B" w14:textId="77777777" w:rsidR="00944AEB" w:rsidRPr="004604C7" w:rsidRDefault="00944AEB" w:rsidP="00C27128">
      <w:pPr>
        <w:pStyle w:val="ListParagraph"/>
        <w:spacing w:after="0" w:line="276" w:lineRule="auto"/>
        <w:jc w:val="both"/>
        <w:rPr>
          <w:rFonts w:ascii="Arial" w:hAnsi="Arial" w:cs="Arial"/>
        </w:rPr>
      </w:pPr>
    </w:p>
    <w:p w14:paraId="0642DE56" w14:textId="77777777" w:rsidR="00944AEB" w:rsidRPr="004604C7" w:rsidRDefault="00944AEB" w:rsidP="00C27128">
      <w:pPr>
        <w:pStyle w:val="ListParagraph"/>
        <w:numPr>
          <w:ilvl w:val="0"/>
          <w:numId w:val="38"/>
        </w:numPr>
        <w:spacing w:after="0" w:line="276" w:lineRule="auto"/>
        <w:jc w:val="both"/>
        <w:rPr>
          <w:rFonts w:ascii="Arial" w:hAnsi="Arial" w:cs="Arial"/>
        </w:rPr>
      </w:pPr>
      <w:r w:rsidRPr="004604C7">
        <w:rPr>
          <w:rFonts w:ascii="Arial" w:hAnsi="Arial" w:cs="Arial"/>
        </w:rPr>
        <w:t>Efficiency: This should include a review of the efficiency and value for money of the delivery structure involving the Fund Manager.</w:t>
      </w:r>
    </w:p>
    <w:p w14:paraId="4E584A81"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Were the financial resources and other inputs used efficiently to achieve outputs?</w:t>
      </w:r>
    </w:p>
    <w:p w14:paraId="2C2F18B9"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Do the outcomes of the pro</w:t>
      </w:r>
      <w:r w:rsidR="00356E5D" w:rsidRPr="004604C7">
        <w:rPr>
          <w:rFonts w:ascii="Arial" w:hAnsi="Arial" w:cs="Arial"/>
        </w:rPr>
        <w:t>ject</w:t>
      </w:r>
      <w:r w:rsidRPr="004604C7">
        <w:rPr>
          <w:rFonts w:ascii="Arial" w:hAnsi="Arial" w:cs="Arial"/>
        </w:rPr>
        <w:t xml:space="preserve"> represent value for money?</w:t>
      </w:r>
    </w:p>
    <w:p w14:paraId="25D42D3A"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is the relationship between inputs and outputs timely, cost effective and to expected standards?</w:t>
      </w:r>
    </w:p>
    <w:p w14:paraId="57D7D080"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the intervention delivers, or is likely to deliver, results within the intended timeframe, or is the timeframe reasonably adjusted to the demands of the evolving context?</w:t>
      </w:r>
    </w:p>
    <w:p w14:paraId="0D66B4D1" w14:textId="77777777" w:rsidR="00944AEB" w:rsidRPr="004604C7" w:rsidRDefault="00944AEB" w:rsidP="00C27128">
      <w:pPr>
        <w:pStyle w:val="ListParagraph"/>
        <w:spacing w:after="0" w:line="276" w:lineRule="auto"/>
        <w:ind w:left="1080"/>
        <w:jc w:val="both"/>
        <w:rPr>
          <w:rFonts w:ascii="Arial" w:eastAsia="Times New Roman" w:hAnsi="Arial" w:cs="Arial"/>
          <w:color w:val="000000"/>
        </w:rPr>
      </w:pPr>
    </w:p>
    <w:p w14:paraId="38336222" w14:textId="77777777" w:rsidR="00944AEB" w:rsidRPr="004604C7" w:rsidRDefault="00944AEB" w:rsidP="00C27128">
      <w:pPr>
        <w:pStyle w:val="ListParagraph"/>
        <w:numPr>
          <w:ilvl w:val="0"/>
          <w:numId w:val="38"/>
        </w:numPr>
        <w:spacing w:after="0" w:line="276" w:lineRule="auto"/>
        <w:jc w:val="both"/>
        <w:rPr>
          <w:rFonts w:ascii="Arial" w:hAnsi="Arial" w:cs="Arial"/>
        </w:rPr>
      </w:pPr>
      <w:r w:rsidRPr="004604C7">
        <w:rPr>
          <w:rFonts w:ascii="Arial" w:hAnsi="Arial" w:cs="Arial"/>
        </w:rPr>
        <w:t>Effectiveness: The effectiveness of the delivery structure involving the Fund Manager including synergy between output areas in delivering the outcome needs to be analysed against pro</w:t>
      </w:r>
      <w:r w:rsidR="0018731F" w:rsidRPr="004604C7">
        <w:rPr>
          <w:rFonts w:ascii="Arial" w:hAnsi="Arial" w:cs="Arial"/>
        </w:rPr>
        <w:t>ject</w:t>
      </w:r>
      <w:r w:rsidRPr="004604C7">
        <w:rPr>
          <w:rFonts w:ascii="Arial" w:hAnsi="Arial" w:cs="Arial"/>
        </w:rPr>
        <w:t xml:space="preserve"> objective</w:t>
      </w:r>
      <w:r w:rsidR="0018731F" w:rsidRPr="004604C7">
        <w:rPr>
          <w:rFonts w:ascii="Arial" w:hAnsi="Arial" w:cs="Arial"/>
        </w:rPr>
        <w:t>s.</w:t>
      </w:r>
    </w:p>
    <w:p w14:paraId="264892A3"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is the pro</w:t>
      </w:r>
      <w:r w:rsidR="00356E5D" w:rsidRPr="004604C7">
        <w:rPr>
          <w:rFonts w:ascii="Arial" w:hAnsi="Arial" w:cs="Arial"/>
        </w:rPr>
        <w:t>ject</w:t>
      </w:r>
      <w:r w:rsidRPr="004604C7">
        <w:rPr>
          <w:rFonts w:ascii="Arial" w:hAnsi="Arial" w:cs="Arial"/>
        </w:rPr>
        <w:t xml:space="preserve"> achieving the intended outcomes, in the short, medium and long term?</w:t>
      </w:r>
    </w:p>
    <w:p w14:paraId="492E3A5A"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is the pro</w:t>
      </w:r>
      <w:r w:rsidR="00356E5D" w:rsidRPr="004604C7">
        <w:rPr>
          <w:rFonts w:ascii="Arial" w:hAnsi="Arial" w:cs="Arial"/>
        </w:rPr>
        <w:t>ject</w:t>
      </w:r>
      <w:r w:rsidRPr="004604C7">
        <w:rPr>
          <w:rFonts w:ascii="Arial" w:hAnsi="Arial" w:cs="Arial"/>
        </w:rPr>
        <w:t xml:space="preserve"> producing worthwhile results (outputs, outcomes) and/or meeting each of its objectives?</w:t>
      </w:r>
    </w:p>
    <w:p w14:paraId="0D815EF2"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has the project built on the strengths and opportunities of SHA and</w:t>
      </w:r>
      <w:r w:rsidR="00730574" w:rsidRPr="004604C7">
        <w:rPr>
          <w:rFonts w:ascii="Arial" w:hAnsi="Arial" w:cs="Arial"/>
        </w:rPr>
        <w:t xml:space="preserve"> the consortium partner’</w:t>
      </w:r>
      <w:r w:rsidRPr="004604C7">
        <w:rPr>
          <w:rFonts w:ascii="Arial" w:hAnsi="Arial" w:cs="Arial"/>
        </w:rPr>
        <w:t>s effectiveness?</w:t>
      </w:r>
    </w:p>
    <w:p w14:paraId="372431FF"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are the processes to manage risks, including compliance risks, appropriate and effective?</w:t>
      </w:r>
    </w:p>
    <w:p w14:paraId="029ED370" w14:textId="77777777" w:rsidR="00944AEB" w:rsidRPr="004604C7" w:rsidRDefault="00944AEB" w:rsidP="00C27128">
      <w:pPr>
        <w:pStyle w:val="ListParagraph"/>
        <w:numPr>
          <w:ilvl w:val="0"/>
          <w:numId w:val="47"/>
        </w:numPr>
        <w:spacing w:after="0" w:line="276" w:lineRule="auto"/>
        <w:jc w:val="both"/>
        <w:rPr>
          <w:rFonts w:ascii="Arial" w:hAnsi="Arial" w:cs="Arial"/>
        </w:rPr>
      </w:pPr>
      <w:r w:rsidRPr="004604C7">
        <w:rPr>
          <w:rFonts w:ascii="Arial" w:hAnsi="Arial" w:cs="Arial"/>
        </w:rPr>
        <w:t>To what extent the pro</w:t>
      </w:r>
      <w:r w:rsidR="00356E5D" w:rsidRPr="004604C7">
        <w:rPr>
          <w:rFonts w:ascii="Arial" w:hAnsi="Arial" w:cs="Arial"/>
        </w:rPr>
        <w:t>ject</w:t>
      </w:r>
      <w:r w:rsidRPr="004604C7">
        <w:rPr>
          <w:rFonts w:ascii="Arial" w:hAnsi="Arial" w:cs="Arial"/>
        </w:rPr>
        <w:t xml:space="preserve"> outputs contribute to</w:t>
      </w:r>
      <w:r w:rsidR="008B7AAC" w:rsidRPr="004604C7">
        <w:rPr>
          <w:rFonts w:ascii="Arial" w:hAnsi="Arial" w:cs="Arial"/>
        </w:rPr>
        <w:t xml:space="preserve"> the promotion of green and sustainable growth in Zambia and promote environmentally friendly, gender/youth-sensitive, economically viable diversification of the economy</w:t>
      </w:r>
      <w:r w:rsidRPr="004604C7">
        <w:rPr>
          <w:rFonts w:ascii="Arial" w:hAnsi="Arial" w:cs="Arial"/>
        </w:rPr>
        <w:t>?</w:t>
      </w:r>
    </w:p>
    <w:p w14:paraId="561D3F84" w14:textId="77777777" w:rsidR="00944AEB" w:rsidRPr="004604C7" w:rsidRDefault="00944AEB" w:rsidP="00C27128">
      <w:pPr>
        <w:spacing w:line="276" w:lineRule="auto"/>
        <w:jc w:val="both"/>
        <w:rPr>
          <w:rFonts w:ascii="Arial" w:hAnsi="Arial" w:cs="Arial"/>
          <w:sz w:val="22"/>
          <w:szCs w:val="22"/>
        </w:rPr>
      </w:pPr>
    </w:p>
    <w:p w14:paraId="3B1A7D4D" w14:textId="77777777" w:rsidR="00944AEB" w:rsidRPr="004604C7" w:rsidRDefault="00944AEB" w:rsidP="00C27128">
      <w:pPr>
        <w:pStyle w:val="ListParagraph"/>
        <w:numPr>
          <w:ilvl w:val="0"/>
          <w:numId w:val="38"/>
        </w:numPr>
        <w:spacing w:after="0" w:line="276" w:lineRule="auto"/>
        <w:jc w:val="both"/>
        <w:rPr>
          <w:rFonts w:ascii="Arial" w:hAnsi="Arial" w:cs="Arial"/>
        </w:rPr>
      </w:pPr>
      <w:r w:rsidRPr="004604C7">
        <w:rPr>
          <w:rFonts w:ascii="Arial" w:hAnsi="Arial" w:cs="Arial"/>
        </w:rPr>
        <w:t>EU value added</w:t>
      </w:r>
    </w:p>
    <w:p w14:paraId="0245BE5B" w14:textId="77777777" w:rsidR="00944AEB" w:rsidRPr="004604C7" w:rsidRDefault="00944AEB" w:rsidP="00C27128">
      <w:pPr>
        <w:pStyle w:val="ListParagraph"/>
        <w:numPr>
          <w:ilvl w:val="0"/>
          <w:numId w:val="50"/>
        </w:numPr>
        <w:spacing w:after="0" w:line="276" w:lineRule="auto"/>
        <w:jc w:val="both"/>
        <w:rPr>
          <w:rFonts w:ascii="Arial" w:hAnsi="Arial" w:cs="Arial"/>
        </w:rPr>
      </w:pPr>
      <w:r w:rsidRPr="004604C7">
        <w:rPr>
          <w:rFonts w:ascii="Arial" w:hAnsi="Arial" w:cs="Arial"/>
        </w:rPr>
        <w:t>Has the Pro</w:t>
      </w:r>
      <w:r w:rsidR="00356E5D" w:rsidRPr="004604C7">
        <w:rPr>
          <w:rFonts w:ascii="Arial" w:hAnsi="Arial" w:cs="Arial"/>
        </w:rPr>
        <w:t>ject</w:t>
      </w:r>
      <w:r w:rsidRPr="004604C7">
        <w:rPr>
          <w:rFonts w:ascii="Arial" w:hAnsi="Arial" w:cs="Arial"/>
        </w:rPr>
        <w:t xml:space="preserve"> brought additional benefits to what would have resulted from other donors’ interventions only</w:t>
      </w:r>
    </w:p>
    <w:p w14:paraId="48A45232" w14:textId="77777777" w:rsidR="00944AEB" w:rsidRPr="004604C7" w:rsidRDefault="00944AEB" w:rsidP="00C27128">
      <w:pPr>
        <w:spacing w:line="276" w:lineRule="auto"/>
        <w:jc w:val="both"/>
        <w:rPr>
          <w:rFonts w:ascii="Arial" w:hAnsi="Arial" w:cs="Arial"/>
          <w:sz w:val="22"/>
          <w:szCs w:val="22"/>
        </w:rPr>
      </w:pPr>
    </w:p>
    <w:p w14:paraId="62F2174A" w14:textId="77777777" w:rsidR="00944AEB" w:rsidRPr="004604C7" w:rsidRDefault="00944AEB" w:rsidP="00C27128">
      <w:pPr>
        <w:spacing w:line="276" w:lineRule="auto"/>
        <w:jc w:val="both"/>
        <w:rPr>
          <w:rFonts w:ascii="Arial" w:hAnsi="Arial" w:cs="Arial"/>
          <w:color w:val="92D050"/>
          <w:sz w:val="22"/>
          <w:szCs w:val="22"/>
          <w:lang w:eastAsia="en-GB"/>
        </w:rPr>
      </w:pPr>
      <w:r w:rsidRPr="004604C7">
        <w:rPr>
          <w:rFonts w:ascii="Arial" w:hAnsi="Arial" w:cs="Arial"/>
          <w:sz w:val="22"/>
          <w:szCs w:val="22"/>
          <w:lang w:eastAsia="en-GB"/>
        </w:rPr>
        <w:t xml:space="preserve">In addition to the above questions, the Mid-term Review should also identify a range of recommendations for improvements to the </w:t>
      </w:r>
      <w:r w:rsidR="00356E5D" w:rsidRPr="004604C7">
        <w:rPr>
          <w:rFonts w:ascii="Arial" w:hAnsi="Arial" w:cs="Arial"/>
          <w:sz w:val="22"/>
          <w:szCs w:val="22"/>
          <w:lang w:eastAsia="en-GB"/>
        </w:rPr>
        <w:t>GREENTech4CE Project</w:t>
      </w:r>
      <w:r w:rsidRPr="004604C7">
        <w:rPr>
          <w:rFonts w:ascii="Arial" w:hAnsi="Arial" w:cs="Arial"/>
          <w:sz w:val="22"/>
          <w:szCs w:val="22"/>
          <w:lang w:eastAsia="en-GB"/>
        </w:rPr>
        <w:t xml:space="preserve"> in the areas of programme design, theory of change (at a programme level), management structure, governance structure and donor engagement in order to inform the next round of EU private sector focused programming in Zambia.</w:t>
      </w:r>
    </w:p>
    <w:p w14:paraId="7C745B87" w14:textId="77777777" w:rsidR="00944AEB" w:rsidRPr="004604C7" w:rsidRDefault="00944AEB" w:rsidP="00C27128">
      <w:pPr>
        <w:pStyle w:val="ListParagraph"/>
        <w:spacing w:after="0" w:line="276" w:lineRule="auto"/>
        <w:jc w:val="both"/>
        <w:rPr>
          <w:rFonts w:ascii="Arial" w:eastAsia="Times New Roman" w:hAnsi="Arial" w:cs="Arial"/>
          <w:color w:val="92D050"/>
          <w:lang w:eastAsia="en-GB"/>
        </w:rPr>
      </w:pPr>
    </w:p>
    <w:p w14:paraId="16E84E98"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 xml:space="preserve">METHODOLOGY </w:t>
      </w:r>
    </w:p>
    <w:p w14:paraId="691BDD21" w14:textId="77777777" w:rsidR="00944AEB" w:rsidRPr="004604C7" w:rsidRDefault="00944AEB" w:rsidP="00C27128">
      <w:pPr>
        <w:pStyle w:val="Default"/>
        <w:spacing w:line="276" w:lineRule="auto"/>
        <w:rPr>
          <w:rFonts w:ascii="Arial" w:hAnsi="Arial" w:cs="Arial"/>
        </w:rPr>
      </w:pPr>
      <w:r w:rsidRPr="004604C7">
        <w:rPr>
          <w:rFonts w:ascii="Arial" w:hAnsi="Arial" w:cs="Arial"/>
        </w:rPr>
        <w:t xml:space="preserve">The applicants are expected to clearly specify the methodology they propose for the Mid-Term Review in their response to these Terms of Reference. Applicants are expected to propose a review design that is rigorous and uses internationally recognised methods. The methodology proposed should show how the chosen data collection and analysis techniques will lead to a robust and credible set of conclusions and recommendations for the programme. </w:t>
      </w:r>
    </w:p>
    <w:p w14:paraId="6CFF38DE" w14:textId="77777777" w:rsidR="00944AEB" w:rsidRPr="004604C7" w:rsidRDefault="00944AEB" w:rsidP="00C27128">
      <w:pPr>
        <w:pStyle w:val="Default"/>
        <w:spacing w:line="276" w:lineRule="auto"/>
        <w:rPr>
          <w:rFonts w:ascii="Arial" w:hAnsi="Arial" w:cs="Arial"/>
        </w:rPr>
      </w:pPr>
    </w:p>
    <w:p w14:paraId="5823A768" w14:textId="55744E80" w:rsidR="008B69F5" w:rsidRDefault="00EB4110" w:rsidP="00C27128">
      <w:pPr>
        <w:spacing w:line="276" w:lineRule="auto"/>
        <w:jc w:val="both"/>
        <w:rPr>
          <w:rFonts w:ascii="Arial" w:hAnsi="Arial" w:cs="Arial"/>
          <w:sz w:val="22"/>
          <w:szCs w:val="22"/>
          <w:lang w:eastAsia="en-GB"/>
        </w:rPr>
      </w:pPr>
      <w:r>
        <w:rPr>
          <w:rFonts w:ascii="Arial" w:hAnsi="Arial" w:cs="Arial"/>
          <w:sz w:val="22"/>
          <w:szCs w:val="22"/>
          <w:lang w:eastAsia="en-GB"/>
        </w:rPr>
        <w:t>T</w:t>
      </w:r>
      <w:r w:rsidR="0037266C" w:rsidRPr="00B7300F">
        <w:rPr>
          <w:rFonts w:ascii="Arial" w:hAnsi="Arial" w:cs="Arial"/>
          <w:sz w:val="22"/>
          <w:szCs w:val="22"/>
          <w:lang w:eastAsia="en-GB"/>
        </w:rPr>
        <w:t xml:space="preserve">he </w:t>
      </w:r>
      <w:r>
        <w:rPr>
          <w:rFonts w:ascii="Arial" w:hAnsi="Arial" w:cs="Arial"/>
          <w:sz w:val="22"/>
          <w:szCs w:val="22"/>
          <w:lang w:eastAsia="en-GB"/>
        </w:rPr>
        <w:t>Applicant should</w:t>
      </w:r>
      <w:r w:rsidR="0037266C" w:rsidRPr="00B7300F">
        <w:rPr>
          <w:rFonts w:ascii="Arial" w:hAnsi="Arial" w:cs="Arial"/>
          <w:sz w:val="22"/>
          <w:szCs w:val="22"/>
          <w:lang w:eastAsia="en-GB"/>
        </w:rPr>
        <w:t xml:space="preserve"> propose a detailed methodology for the mid-term review, including the specific data sources, methods of data collection and analysis, and stakeholder engagement approach they intend to use. </w:t>
      </w:r>
      <w:r w:rsidR="008B69F5" w:rsidRPr="004604C7">
        <w:rPr>
          <w:rFonts w:ascii="Arial" w:hAnsi="Arial" w:cs="Arial"/>
          <w:sz w:val="22"/>
          <w:szCs w:val="22"/>
        </w:rPr>
        <w:t xml:space="preserve">The </w:t>
      </w:r>
      <w:r w:rsidR="008B69F5">
        <w:rPr>
          <w:rFonts w:ascii="Arial" w:hAnsi="Arial" w:cs="Arial"/>
          <w:sz w:val="22"/>
          <w:szCs w:val="22"/>
        </w:rPr>
        <w:t>A</w:t>
      </w:r>
      <w:r w:rsidR="008B69F5" w:rsidRPr="004604C7">
        <w:rPr>
          <w:rFonts w:ascii="Arial" w:hAnsi="Arial" w:cs="Arial"/>
          <w:sz w:val="22"/>
          <w:szCs w:val="22"/>
        </w:rPr>
        <w:t xml:space="preserve">pplicant may propose methods and analytical techniques which will permit the review of the impact of the project to date although the primary concern of the </w:t>
      </w:r>
      <w:r w:rsidR="00F76A00">
        <w:rPr>
          <w:rFonts w:ascii="Arial" w:hAnsi="Arial" w:cs="Arial"/>
          <w:sz w:val="22"/>
          <w:szCs w:val="22"/>
        </w:rPr>
        <w:t>m</w:t>
      </w:r>
      <w:r w:rsidR="008B69F5" w:rsidRPr="004604C7">
        <w:rPr>
          <w:rFonts w:ascii="Arial" w:hAnsi="Arial" w:cs="Arial"/>
          <w:sz w:val="22"/>
          <w:szCs w:val="22"/>
        </w:rPr>
        <w:t xml:space="preserve">id-term </w:t>
      </w:r>
      <w:r w:rsidR="00F76A00">
        <w:rPr>
          <w:rFonts w:ascii="Arial" w:hAnsi="Arial" w:cs="Arial"/>
          <w:sz w:val="22"/>
          <w:szCs w:val="22"/>
        </w:rPr>
        <w:t>r</w:t>
      </w:r>
      <w:r w:rsidR="008B69F5" w:rsidRPr="004604C7">
        <w:rPr>
          <w:rFonts w:ascii="Arial" w:hAnsi="Arial" w:cs="Arial"/>
          <w:sz w:val="22"/>
          <w:szCs w:val="22"/>
        </w:rPr>
        <w:t>eview is to better understand the project, its operation and overall effectiveness and not to attribute impact to the project.</w:t>
      </w:r>
      <w:r w:rsidR="00C96FB9">
        <w:rPr>
          <w:rFonts w:ascii="Arial" w:hAnsi="Arial" w:cs="Arial"/>
          <w:sz w:val="22"/>
          <w:szCs w:val="22"/>
        </w:rPr>
        <w:t xml:space="preserve"> </w:t>
      </w:r>
    </w:p>
    <w:p w14:paraId="7DD7C0E9" w14:textId="77777777" w:rsidR="0037266C" w:rsidRPr="004604C7" w:rsidRDefault="0037266C" w:rsidP="00C27128">
      <w:pPr>
        <w:pStyle w:val="Default"/>
        <w:spacing w:line="276" w:lineRule="auto"/>
        <w:rPr>
          <w:rFonts w:ascii="Arial" w:hAnsi="Arial" w:cs="Arial"/>
        </w:rPr>
      </w:pPr>
    </w:p>
    <w:p w14:paraId="0C8FD525" w14:textId="77777777" w:rsidR="00944AEB" w:rsidRPr="004604C7" w:rsidRDefault="00944AEB" w:rsidP="00C27128">
      <w:pPr>
        <w:pStyle w:val="Default"/>
        <w:spacing w:line="276" w:lineRule="auto"/>
        <w:rPr>
          <w:rFonts w:ascii="Arial" w:hAnsi="Arial" w:cs="Arial"/>
        </w:rPr>
      </w:pPr>
      <w:r w:rsidRPr="004604C7">
        <w:rPr>
          <w:rFonts w:ascii="Arial" w:hAnsi="Arial" w:cs="Arial"/>
        </w:rPr>
        <w:t xml:space="preserve">The Fund Manager may revise these methods during the review inception phase and advise on the sampling methodologies. It is expected that the review will use a mixed methods approach including: </w:t>
      </w:r>
    </w:p>
    <w:p w14:paraId="04F0AE28" w14:textId="77777777" w:rsidR="00944AEB" w:rsidRPr="004604C7" w:rsidRDefault="00944AEB" w:rsidP="00C27128">
      <w:pPr>
        <w:numPr>
          <w:ilvl w:val="0"/>
          <w:numId w:val="41"/>
        </w:numPr>
        <w:spacing w:line="276" w:lineRule="auto"/>
        <w:jc w:val="both"/>
        <w:rPr>
          <w:rFonts w:ascii="Arial" w:hAnsi="Arial" w:cs="Arial"/>
          <w:sz w:val="22"/>
          <w:szCs w:val="22"/>
          <w:lang w:eastAsia="en-GB"/>
        </w:rPr>
      </w:pPr>
      <w:r w:rsidRPr="004604C7">
        <w:rPr>
          <w:rFonts w:ascii="Arial" w:hAnsi="Arial" w:cs="Arial"/>
          <w:sz w:val="22"/>
          <w:szCs w:val="22"/>
          <w:lang w:eastAsia="en-GB"/>
        </w:rPr>
        <w:t>In depth case study analysis of interventions made.</w:t>
      </w:r>
    </w:p>
    <w:p w14:paraId="2055F379" w14:textId="77777777" w:rsidR="00944AEB" w:rsidRPr="004604C7" w:rsidRDefault="00944AEB" w:rsidP="00C27128">
      <w:pPr>
        <w:numPr>
          <w:ilvl w:val="0"/>
          <w:numId w:val="41"/>
        </w:num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Qualitative analysis based on field visits, interviews, document review and review of other data sources. </w:t>
      </w:r>
    </w:p>
    <w:p w14:paraId="1C6A329D" w14:textId="77777777" w:rsidR="00944AEB" w:rsidRPr="004604C7" w:rsidRDefault="00944AEB" w:rsidP="00C27128">
      <w:pPr>
        <w:numPr>
          <w:ilvl w:val="0"/>
          <w:numId w:val="41"/>
        </w:num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Quantitative analysis using monitoring data and other available data. </w:t>
      </w:r>
    </w:p>
    <w:p w14:paraId="312479B8" w14:textId="77777777" w:rsidR="00944AEB" w:rsidRPr="004604C7" w:rsidRDefault="00944AEB" w:rsidP="00C27128">
      <w:pPr>
        <w:spacing w:line="276" w:lineRule="auto"/>
        <w:jc w:val="both"/>
        <w:rPr>
          <w:rFonts w:ascii="Arial" w:hAnsi="Arial" w:cs="Arial"/>
          <w:sz w:val="22"/>
          <w:szCs w:val="22"/>
          <w:lang w:eastAsia="en-GB"/>
        </w:rPr>
      </w:pPr>
    </w:p>
    <w:p w14:paraId="3884424E" w14:textId="7B5CEDB1" w:rsidR="00944AEB" w:rsidRPr="0037266C" w:rsidRDefault="00FF3AA0" w:rsidP="00C27128">
      <w:pPr>
        <w:spacing w:line="276" w:lineRule="auto"/>
        <w:jc w:val="both"/>
        <w:rPr>
          <w:rFonts w:ascii="Arial" w:hAnsi="Arial" w:cs="Arial"/>
          <w:sz w:val="22"/>
          <w:szCs w:val="22"/>
          <w:lang w:eastAsia="en-GB"/>
        </w:rPr>
      </w:pPr>
      <w:r w:rsidRPr="004604C7">
        <w:rPr>
          <w:rFonts w:ascii="Arial" w:hAnsi="Arial" w:cs="Arial"/>
          <w:sz w:val="22"/>
          <w:szCs w:val="22"/>
          <w:lang w:eastAsia="en-GB"/>
        </w:rPr>
        <w:t>I</w:t>
      </w:r>
      <w:r w:rsidR="00944AEB" w:rsidRPr="004604C7">
        <w:rPr>
          <w:rFonts w:ascii="Arial" w:hAnsi="Arial" w:cs="Arial"/>
          <w:sz w:val="22"/>
          <w:szCs w:val="22"/>
          <w:lang w:eastAsia="en-GB"/>
        </w:rPr>
        <w:t>n order to facilitate and to reduce disruption to grant recipients</w:t>
      </w:r>
      <w:r w:rsidRPr="004604C7">
        <w:rPr>
          <w:rFonts w:ascii="Arial" w:hAnsi="Arial" w:cs="Arial"/>
          <w:sz w:val="22"/>
          <w:szCs w:val="22"/>
          <w:lang w:eastAsia="en-GB"/>
        </w:rPr>
        <w:t>,</w:t>
      </w:r>
      <w:r w:rsidR="00944AEB" w:rsidRPr="004604C7">
        <w:rPr>
          <w:rFonts w:ascii="Arial" w:hAnsi="Arial" w:cs="Arial"/>
          <w:sz w:val="22"/>
          <w:szCs w:val="22"/>
          <w:lang w:eastAsia="en-GB"/>
        </w:rPr>
        <w:t xml:space="preserve"> the review team will coordinate with the fund manager on a visit schedule.  </w:t>
      </w:r>
      <w:r w:rsidRPr="004604C7">
        <w:rPr>
          <w:rFonts w:ascii="Arial" w:hAnsi="Arial" w:cs="Arial"/>
          <w:sz w:val="22"/>
          <w:szCs w:val="22"/>
          <w:lang w:eastAsia="en-GB"/>
        </w:rPr>
        <w:t xml:space="preserve"> </w:t>
      </w:r>
      <w:r w:rsidR="00994BF1" w:rsidRPr="004604C7">
        <w:rPr>
          <w:rFonts w:ascii="Arial" w:hAnsi="Arial" w:cs="Arial"/>
          <w:sz w:val="22"/>
          <w:szCs w:val="22"/>
          <w:lang w:eastAsia="en-GB"/>
        </w:rPr>
        <w:t xml:space="preserve"> </w:t>
      </w:r>
    </w:p>
    <w:p w14:paraId="44F08812" w14:textId="77777777" w:rsidR="00944AEB" w:rsidRPr="004604C7" w:rsidRDefault="00944AEB" w:rsidP="00C27128">
      <w:pPr>
        <w:spacing w:line="276" w:lineRule="auto"/>
        <w:ind w:left="720"/>
        <w:jc w:val="both"/>
        <w:rPr>
          <w:rFonts w:ascii="Arial" w:hAnsi="Arial" w:cs="Arial"/>
          <w:color w:val="92D050"/>
          <w:sz w:val="22"/>
          <w:szCs w:val="22"/>
          <w:lang w:eastAsia="en-GB"/>
        </w:rPr>
      </w:pPr>
    </w:p>
    <w:p w14:paraId="5AA0FD4B"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EXPECTED DELIVERABLES</w:t>
      </w:r>
    </w:p>
    <w:p w14:paraId="6D220F85" w14:textId="28E23454" w:rsidR="00944AEB" w:rsidRPr="004604C7" w:rsidRDefault="00944AEB" w:rsidP="00C27128">
      <w:p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The </w:t>
      </w:r>
      <w:r w:rsidR="00BB4F9A">
        <w:rPr>
          <w:rFonts w:ascii="Arial" w:hAnsi="Arial" w:cs="Arial"/>
          <w:sz w:val="22"/>
          <w:szCs w:val="22"/>
          <w:lang w:eastAsia="en-GB"/>
        </w:rPr>
        <w:t>C</w:t>
      </w:r>
      <w:r w:rsidRPr="004604C7">
        <w:rPr>
          <w:rFonts w:ascii="Arial" w:hAnsi="Arial" w:cs="Arial"/>
          <w:sz w:val="22"/>
          <w:szCs w:val="22"/>
          <w:lang w:eastAsia="en-GB"/>
        </w:rPr>
        <w:t>onsultant will be required to deliver the following:</w:t>
      </w:r>
    </w:p>
    <w:p w14:paraId="4EBA4306" w14:textId="77777777" w:rsidR="00944AEB" w:rsidRPr="004604C7" w:rsidRDefault="00944AEB" w:rsidP="00C27128">
      <w:pPr>
        <w:spacing w:line="276" w:lineRule="auto"/>
        <w:jc w:val="both"/>
        <w:rPr>
          <w:rFonts w:ascii="Arial" w:hAnsi="Arial" w:cs="Arial"/>
          <w:sz w:val="22"/>
          <w:szCs w:val="22"/>
          <w:lang w:eastAsia="en-GB"/>
        </w:rPr>
      </w:pPr>
    </w:p>
    <w:p w14:paraId="5AAA119F" w14:textId="77777777" w:rsidR="00944AEB" w:rsidRPr="004604C7" w:rsidRDefault="00944AEB" w:rsidP="00C27128">
      <w:pPr>
        <w:pStyle w:val="ListParagraph"/>
        <w:numPr>
          <w:ilvl w:val="0"/>
          <w:numId w:val="48"/>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Draft Inception Report: The Inception Report should cover: the validated review questions and each question should be accompanied by explanatory comments, judgement criteria, quantitative and qualitative indicators, methodological approach to data collection and analysis. The report should also include a detailed work plan,</w:t>
      </w:r>
      <w:r w:rsidRPr="004604C7">
        <w:rPr>
          <w:rFonts w:ascii="Arial" w:eastAsia="Times New Roman" w:hAnsi="Arial" w:cs="Arial"/>
        </w:rPr>
        <w:t xml:space="preserve"> the activities to be implemented and the deliverables. The role and responsibilities of each member of the team should be stated as well</w:t>
      </w:r>
      <w:r w:rsidRPr="004604C7">
        <w:rPr>
          <w:rFonts w:ascii="Arial" w:eastAsia="Times New Roman" w:hAnsi="Arial" w:cs="Arial"/>
          <w:lang w:eastAsia="en-GB"/>
        </w:rPr>
        <w:t xml:space="preserve">. </w:t>
      </w:r>
    </w:p>
    <w:p w14:paraId="4972F5CD" w14:textId="77777777" w:rsidR="00944AEB" w:rsidRPr="004604C7" w:rsidRDefault="00944AEB" w:rsidP="00C27128">
      <w:pPr>
        <w:pStyle w:val="ListParagraph"/>
        <w:numPr>
          <w:ilvl w:val="0"/>
          <w:numId w:val="48"/>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Final Inception Report, incorporating feedback from M&amp;E team (1 week from commencement)</w:t>
      </w:r>
    </w:p>
    <w:p w14:paraId="5A4C88AC" w14:textId="77777777" w:rsidR="00944AEB" w:rsidRPr="004604C7" w:rsidRDefault="00944AEB" w:rsidP="00C27128">
      <w:pPr>
        <w:pStyle w:val="ListParagraph"/>
        <w:numPr>
          <w:ilvl w:val="0"/>
          <w:numId w:val="48"/>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 xml:space="preserve">Presentation of Draft Findings Conclusions and Recommendations to the Technical </w:t>
      </w:r>
      <w:r w:rsidR="00770A0D" w:rsidRPr="004604C7">
        <w:rPr>
          <w:rFonts w:ascii="Arial" w:eastAsia="Times New Roman" w:hAnsi="Arial" w:cs="Arial"/>
          <w:lang w:eastAsia="en-GB"/>
        </w:rPr>
        <w:t>Committee</w:t>
      </w:r>
      <w:r w:rsidRPr="004604C7">
        <w:rPr>
          <w:rFonts w:ascii="Arial" w:eastAsia="Times New Roman" w:hAnsi="Arial" w:cs="Arial"/>
          <w:lang w:eastAsia="en-GB"/>
        </w:rPr>
        <w:t xml:space="preserve">. </w:t>
      </w:r>
    </w:p>
    <w:p w14:paraId="45240819" w14:textId="2498B151" w:rsidR="00944AEB" w:rsidRPr="004604C7" w:rsidRDefault="00944AEB" w:rsidP="00C27128">
      <w:pPr>
        <w:pStyle w:val="ListParagraph"/>
        <w:numPr>
          <w:ilvl w:val="0"/>
          <w:numId w:val="48"/>
        </w:numPr>
        <w:spacing w:after="0" w:line="276" w:lineRule="auto"/>
        <w:jc w:val="both"/>
        <w:rPr>
          <w:rFonts w:ascii="Arial" w:eastAsia="Times New Roman" w:hAnsi="Arial" w:cs="Arial"/>
          <w:lang w:eastAsia="en-GB"/>
        </w:rPr>
      </w:pPr>
      <w:r w:rsidRPr="004604C7">
        <w:rPr>
          <w:rFonts w:ascii="Arial" w:eastAsia="Times New Roman" w:hAnsi="Arial" w:cs="Arial"/>
          <w:b/>
          <w:bCs/>
          <w:lang w:eastAsia="en-GB"/>
        </w:rPr>
        <w:t>Draft Final Report</w:t>
      </w:r>
      <w:r w:rsidRPr="004604C7">
        <w:rPr>
          <w:rFonts w:ascii="Arial" w:eastAsia="Times New Roman" w:hAnsi="Arial" w:cs="Arial"/>
          <w:lang w:eastAsia="en-GB"/>
        </w:rPr>
        <w:t xml:space="preserve"> </w:t>
      </w:r>
      <w:r w:rsidRPr="004604C7">
        <w:rPr>
          <w:rFonts w:ascii="Arial" w:eastAsia="Times New Roman" w:hAnsi="Arial" w:cs="Arial"/>
        </w:rPr>
        <w:t xml:space="preserve">should be discussed with the </w:t>
      </w:r>
      <w:r w:rsidR="006141CD" w:rsidRPr="004604C7">
        <w:rPr>
          <w:rFonts w:ascii="Arial" w:eastAsia="Times New Roman" w:hAnsi="Arial" w:cs="Arial"/>
        </w:rPr>
        <w:t>T</w:t>
      </w:r>
      <w:r w:rsidRPr="004604C7">
        <w:rPr>
          <w:rFonts w:ascii="Arial" w:eastAsia="Times New Roman" w:hAnsi="Arial" w:cs="Arial"/>
        </w:rPr>
        <w:t xml:space="preserve">echnical </w:t>
      </w:r>
      <w:r w:rsidR="006141CD" w:rsidRPr="004604C7">
        <w:rPr>
          <w:rFonts w:ascii="Arial" w:eastAsia="Times New Roman" w:hAnsi="Arial" w:cs="Arial"/>
        </w:rPr>
        <w:t>Committee</w:t>
      </w:r>
      <w:r w:rsidRPr="004604C7">
        <w:rPr>
          <w:rFonts w:ascii="Arial" w:eastAsia="Times New Roman" w:hAnsi="Arial" w:cs="Arial"/>
        </w:rPr>
        <w:t xml:space="preserve"> and other stakeholders in order to provide comments. The report should be a </w:t>
      </w:r>
      <w:r w:rsidRPr="004604C7">
        <w:rPr>
          <w:rFonts w:ascii="Arial" w:eastAsia="Times New Roman" w:hAnsi="Arial" w:cs="Arial"/>
          <w:b/>
          <w:bCs/>
        </w:rPr>
        <w:t xml:space="preserve">maximum of </w:t>
      </w:r>
      <w:r w:rsidR="00745F1C">
        <w:rPr>
          <w:rFonts w:ascii="Arial" w:eastAsia="Times New Roman" w:hAnsi="Arial" w:cs="Arial"/>
          <w:b/>
          <w:bCs/>
        </w:rPr>
        <w:t>2</w:t>
      </w:r>
      <w:r w:rsidRPr="004604C7">
        <w:rPr>
          <w:rFonts w:ascii="Arial" w:eastAsia="Times New Roman" w:hAnsi="Arial" w:cs="Arial"/>
          <w:b/>
          <w:bCs/>
        </w:rPr>
        <w:t>0 pages</w:t>
      </w:r>
      <w:r w:rsidRPr="004604C7">
        <w:rPr>
          <w:rFonts w:ascii="Arial" w:eastAsia="Times New Roman" w:hAnsi="Arial" w:cs="Arial"/>
        </w:rPr>
        <w:t xml:space="preserve"> exclusive of annexes and should detail the following:</w:t>
      </w:r>
      <w:r w:rsidR="006141CD" w:rsidRPr="004604C7">
        <w:rPr>
          <w:rFonts w:ascii="Arial" w:eastAsia="Times New Roman" w:hAnsi="Arial" w:cs="Arial"/>
        </w:rPr>
        <w:t xml:space="preserve"> </w:t>
      </w:r>
    </w:p>
    <w:p w14:paraId="12578A37" w14:textId="136204E6"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An assessment of the likely relevance, effectiveness, </w:t>
      </w:r>
      <w:r w:rsidR="00745F1C">
        <w:rPr>
          <w:rFonts w:ascii="Arial" w:hAnsi="Arial" w:cs="Arial"/>
          <w:sz w:val="22"/>
          <w:szCs w:val="22"/>
          <w:lang w:eastAsia="en-GB"/>
        </w:rPr>
        <w:t xml:space="preserve">coherence </w:t>
      </w:r>
      <w:r w:rsidRPr="004604C7">
        <w:rPr>
          <w:rFonts w:ascii="Arial" w:hAnsi="Arial" w:cs="Arial"/>
          <w:sz w:val="22"/>
          <w:szCs w:val="22"/>
          <w:lang w:eastAsia="en-GB"/>
        </w:rPr>
        <w:t xml:space="preserve">of the </w:t>
      </w:r>
      <w:r w:rsidR="00745F1C">
        <w:rPr>
          <w:rFonts w:ascii="Arial" w:hAnsi="Arial" w:cs="Arial"/>
          <w:sz w:val="22"/>
          <w:szCs w:val="22"/>
          <w:lang w:eastAsia="en-GB"/>
        </w:rPr>
        <w:t>P</w:t>
      </w:r>
      <w:r w:rsidRPr="004604C7">
        <w:rPr>
          <w:rFonts w:ascii="Arial" w:hAnsi="Arial" w:cs="Arial"/>
          <w:sz w:val="22"/>
          <w:szCs w:val="22"/>
          <w:lang w:eastAsia="en-GB"/>
        </w:rPr>
        <w:t>ro</w:t>
      </w:r>
      <w:r w:rsidR="006141CD" w:rsidRPr="004604C7">
        <w:rPr>
          <w:rFonts w:ascii="Arial" w:hAnsi="Arial" w:cs="Arial"/>
          <w:sz w:val="22"/>
          <w:szCs w:val="22"/>
          <w:lang w:eastAsia="en-GB"/>
        </w:rPr>
        <w:t>ject</w:t>
      </w:r>
      <w:r w:rsidRPr="004604C7">
        <w:rPr>
          <w:rFonts w:ascii="Arial" w:hAnsi="Arial" w:cs="Arial"/>
          <w:sz w:val="22"/>
          <w:szCs w:val="22"/>
          <w:lang w:eastAsia="en-GB"/>
        </w:rPr>
        <w:t xml:space="preserve"> and efficiency of the delivery approach. </w:t>
      </w:r>
    </w:p>
    <w:p w14:paraId="435E1F5F"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Suggestions on how the pro</w:t>
      </w:r>
      <w:r w:rsidR="006141CD" w:rsidRPr="004604C7">
        <w:rPr>
          <w:rFonts w:ascii="Arial" w:hAnsi="Arial" w:cs="Arial"/>
          <w:sz w:val="22"/>
          <w:szCs w:val="22"/>
          <w:lang w:eastAsia="en-GB"/>
        </w:rPr>
        <w:t>ject</w:t>
      </w:r>
      <w:r w:rsidRPr="004604C7">
        <w:rPr>
          <w:rFonts w:ascii="Arial" w:hAnsi="Arial" w:cs="Arial"/>
          <w:sz w:val="22"/>
          <w:szCs w:val="22"/>
          <w:lang w:eastAsia="en-GB"/>
        </w:rPr>
        <w:t xml:space="preserve"> approach might be adjusted to enhance its overall impact and recommendations for any subsequent pro</w:t>
      </w:r>
      <w:r w:rsidR="006141CD" w:rsidRPr="004604C7">
        <w:rPr>
          <w:rFonts w:ascii="Arial" w:hAnsi="Arial" w:cs="Arial"/>
          <w:sz w:val="22"/>
          <w:szCs w:val="22"/>
          <w:lang w:eastAsia="en-GB"/>
        </w:rPr>
        <w:t>ject</w:t>
      </w:r>
      <w:r w:rsidRPr="004604C7">
        <w:rPr>
          <w:rFonts w:ascii="Arial" w:hAnsi="Arial" w:cs="Arial"/>
          <w:sz w:val="22"/>
          <w:szCs w:val="22"/>
          <w:lang w:eastAsia="en-GB"/>
        </w:rPr>
        <w:t xml:space="preserve"> extension. </w:t>
      </w:r>
    </w:p>
    <w:p w14:paraId="0CE64C9E"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A specific high-level report using the mid-term findings and conclusions to disseminate to EU and other stakeholders outlining the potential for scale-up of the</w:t>
      </w:r>
      <w:r w:rsidR="006141CD" w:rsidRPr="004604C7">
        <w:rPr>
          <w:rFonts w:ascii="Arial" w:hAnsi="Arial" w:cs="Arial"/>
          <w:sz w:val="22"/>
          <w:szCs w:val="22"/>
          <w:lang w:eastAsia="en-GB"/>
        </w:rPr>
        <w:t xml:space="preserve"> project</w:t>
      </w:r>
      <w:r w:rsidRPr="004604C7">
        <w:rPr>
          <w:rFonts w:ascii="Arial" w:hAnsi="Arial" w:cs="Arial"/>
          <w:sz w:val="22"/>
          <w:szCs w:val="22"/>
          <w:lang w:eastAsia="en-GB"/>
        </w:rPr>
        <w:t xml:space="preserve"> model</w:t>
      </w:r>
      <w:r w:rsidR="00CC027E" w:rsidRPr="004604C7">
        <w:rPr>
          <w:rFonts w:ascii="Arial" w:hAnsi="Arial" w:cs="Arial"/>
          <w:sz w:val="22"/>
          <w:szCs w:val="22"/>
          <w:lang w:eastAsia="en-GB"/>
        </w:rPr>
        <w:t>.</w:t>
      </w:r>
    </w:p>
    <w:p w14:paraId="7A15F959"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At this stage it may not be possible to identify impact however the mid-term review will identify the trajectory of change and allow revisions to the review design and methodology to be implemented in preparation for the final review</w:t>
      </w:r>
      <w:r w:rsidR="00CC027E" w:rsidRPr="004604C7">
        <w:rPr>
          <w:rFonts w:ascii="Arial" w:hAnsi="Arial" w:cs="Arial"/>
          <w:sz w:val="22"/>
          <w:szCs w:val="22"/>
          <w:lang w:eastAsia="en-GB"/>
        </w:rPr>
        <w:t>.</w:t>
      </w:r>
    </w:p>
    <w:p w14:paraId="380BD520" w14:textId="77777777" w:rsidR="00944AEB" w:rsidRPr="004604C7" w:rsidRDefault="00944AEB" w:rsidP="00C27128">
      <w:pPr>
        <w:pStyle w:val="ListParagraph"/>
        <w:spacing w:after="0" w:line="276" w:lineRule="auto"/>
        <w:ind w:left="1440"/>
        <w:jc w:val="both"/>
        <w:rPr>
          <w:rFonts w:ascii="Arial" w:eastAsia="Times New Roman" w:hAnsi="Arial" w:cs="Arial"/>
          <w:lang w:eastAsia="en-GB"/>
        </w:rPr>
      </w:pPr>
    </w:p>
    <w:p w14:paraId="38FC07F7" w14:textId="77777777" w:rsidR="00944AEB" w:rsidRPr="004604C7" w:rsidRDefault="00944AEB" w:rsidP="00C27128">
      <w:pPr>
        <w:pStyle w:val="ListParagraph"/>
        <w:numPr>
          <w:ilvl w:val="0"/>
          <w:numId w:val="48"/>
        </w:numPr>
        <w:spacing w:after="0" w:line="276" w:lineRule="auto"/>
        <w:jc w:val="both"/>
        <w:rPr>
          <w:rFonts w:ascii="Arial" w:eastAsia="Times New Roman" w:hAnsi="Arial" w:cs="Arial"/>
          <w:lang w:eastAsia="en-GB"/>
        </w:rPr>
      </w:pPr>
      <w:r w:rsidRPr="004604C7">
        <w:rPr>
          <w:rFonts w:ascii="Arial" w:eastAsia="Times New Roman" w:hAnsi="Arial" w:cs="Arial"/>
          <w:b/>
          <w:bCs/>
          <w:lang w:eastAsia="en-GB"/>
        </w:rPr>
        <w:t>Final Report</w:t>
      </w:r>
      <w:r w:rsidRPr="004604C7">
        <w:rPr>
          <w:rFonts w:ascii="Arial" w:eastAsia="Times New Roman" w:hAnsi="Arial" w:cs="Arial"/>
          <w:lang w:eastAsia="en-GB"/>
        </w:rPr>
        <w:t xml:space="preserve"> in the following format:</w:t>
      </w:r>
    </w:p>
    <w:p w14:paraId="37CA5251"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Executive summary</w:t>
      </w:r>
    </w:p>
    <w:p w14:paraId="67C4C11E"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Intervention description</w:t>
      </w:r>
    </w:p>
    <w:p w14:paraId="023197FC"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Review purpose</w:t>
      </w:r>
    </w:p>
    <w:p w14:paraId="43A04A3B"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Methodology</w:t>
      </w:r>
    </w:p>
    <w:p w14:paraId="774C8F4D"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Findings</w:t>
      </w:r>
    </w:p>
    <w:p w14:paraId="4F2273F5"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Conclusions </w:t>
      </w:r>
    </w:p>
    <w:p w14:paraId="77C768EC"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Lessons Learnt</w:t>
      </w:r>
    </w:p>
    <w:p w14:paraId="38112DA8"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Recommendations </w:t>
      </w:r>
    </w:p>
    <w:p w14:paraId="06114C8B" w14:textId="77777777" w:rsidR="00944AEB" w:rsidRPr="004604C7" w:rsidRDefault="00944AEB" w:rsidP="00C27128">
      <w:pPr>
        <w:numPr>
          <w:ilvl w:val="0"/>
          <w:numId w:val="42"/>
        </w:numPr>
        <w:spacing w:line="276" w:lineRule="auto"/>
        <w:jc w:val="both"/>
        <w:rPr>
          <w:rFonts w:ascii="Arial" w:hAnsi="Arial" w:cs="Arial"/>
          <w:sz w:val="22"/>
          <w:szCs w:val="22"/>
          <w:lang w:eastAsia="en-GB"/>
        </w:rPr>
      </w:pPr>
      <w:r w:rsidRPr="004604C7">
        <w:rPr>
          <w:rFonts w:ascii="Arial" w:hAnsi="Arial" w:cs="Arial"/>
          <w:sz w:val="22"/>
          <w:szCs w:val="22"/>
          <w:lang w:eastAsia="en-GB"/>
        </w:rPr>
        <w:t>Annexes (such as list of people interviewed, key documents consulted, data collection instruments)</w:t>
      </w:r>
    </w:p>
    <w:p w14:paraId="60B2210C" w14:textId="77777777" w:rsidR="00944AEB" w:rsidRPr="004604C7" w:rsidRDefault="00944AEB" w:rsidP="00C27128">
      <w:pPr>
        <w:pStyle w:val="ListParagraph"/>
        <w:spacing w:after="0" w:line="276" w:lineRule="auto"/>
        <w:ind w:left="360"/>
        <w:jc w:val="both"/>
        <w:rPr>
          <w:rFonts w:ascii="Arial" w:eastAsia="Times New Roman" w:hAnsi="Arial" w:cs="Arial"/>
          <w:lang w:eastAsia="en-GB"/>
        </w:rPr>
      </w:pPr>
    </w:p>
    <w:p w14:paraId="2CAABE2D" w14:textId="77777777" w:rsidR="00944AEB" w:rsidRPr="004604C7" w:rsidRDefault="00944AEB" w:rsidP="00C27128">
      <w:pPr>
        <w:pStyle w:val="ListParagraph"/>
        <w:numPr>
          <w:ilvl w:val="0"/>
          <w:numId w:val="48"/>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 xml:space="preserve">A PowerPoint presentation of the summary of findings and recommendations presented to the Technical </w:t>
      </w:r>
      <w:r w:rsidR="006141CD" w:rsidRPr="004604C7">
        <w:rPr>
          <w:rFonts w:ascii="Arial" w:eastAsia="Times New Roman" w:hAnsi="Arial" w:cs="Arial"/>
          <w:lang w:eastAsia="en-GB"/>
        </w:rPr>
        <w:t>Committee</w:t>
      </w:r>
      <w:r w:rsidRPr="004604C7">
        <w:rPr>
          <w:rFonts w:ascii="Arial" w:eastAsia="Times New Roman" w:hAnsi="Arial" w:cs="Arial"/>
          <w:lang w:eastAsia="en-GB"/>
        </w:rPr>
        <w:t xml:space="preserve">. </w:t>
      </w:r>
    </w:p>
    <w:p w14:paraId="2D4E7EA5" w14:textId="77777777" w:rsidR="00944AEB" w:rsidRPr="00A0295F" w:rsidRDefault="00944AEB" w:rsidP="00C27128">
      <w:pPr>
        <w:pStyle w:val="ListParagraph"/>
        <w:spacing w:after="0" w:line="276" w:lineRule="auto"/>
        <w:ind w:left="360"/>
        <w:jc w:val="both"/>
        <w:rPr>
          <w:rFonts w:ascii="Arial" w:eastAsia="Times New Roman" w:hAnsi="Arial" w:cs="Arial"/>
          <w:lang w:eastAsia="en-GB"/>
        </w:rPr>
      </w:pPr>
    </w:p>
    <w:p w14:paraId="061163E6" w14:textId="77777777" w:rsidR="00A0295F" w:rsidRDefault="00944AEB" w:rsidP="00C27128">
      <w:pPr>
        <w:pStyle w:val="ListParagraph"/>
        <w:numPr>
          <w:ilvl w:val="0"/>
          <w:numId w:val="48"/>
        </w:numPr>
        <w:spacing w:after="0" w:line="276" w:lineRule="auto"/>
        <w:jc w:val="both"/>
        <w:rPr>
          <w:rFonts w:ascii="Arial" w:eastAsia="Times New Roman" w:hAnsi="Arial" w:cs="Arial"/>
          <w:lang w:eastAsia="en-GB"/>
        </w:rPr>
      </w:pPr>
      <w:r w:rsidRPr="00A0295F">
        <w:rPr>
          <w:rFonts w:ascii="Arial" w:eastAsia="Times New Roman" w:hAnsi="Arial" w:cs="Arial"/>
          <w:lang w:eastAsia="en-GB"/>
        </w:rPr>
        <w:t>Final de-briefing on the report findings with the Fund Manager and EU Delegation</w:t>
      </w:r>
      <w:r w:rsidR="00CC027E" w:rsidRPr="00A0295F">
        <w:rPr>
          <w:rFonts w:ascii="Arial" w:eastAsia="Times New Roman" w:hAnsi="Arial" w:cs="Arial"/>
          <w:lang w:eastAsia="en-GB"/>
        </w:rPr>
        <w:t>.</w:t>
      </w:r>
    </w:p>
    <w:p w14:paraId="6432318A" w14:textId="77777777" w:rsidR="00A0295F" w:rsidRPr="00A0295F" w:rsidRDefault="00A0295F" w:rsidP="00C27128">
      <w:pPr>
        <w:pStyle w:val="ListParagraph"/>
        <w:spacing w:line="276" w:lineRule="auto"/>
        <w:rPr>
          <w:rFonts w:ascii="Arial" w:hAnsi="Arial" w:cs="Arial"/>
          <w:lang w:eastAsia="en-GB"/>
        </w:rPr>
      </w:pPr>
    </w:p>
    <w:p w14:paraId="595BED2C" w14:textId="1E999C64" w:rsidR="00944AEB" w:rsidRPr="00A0295F" w:rsidRDefault="00944AEB" w:rsidP="00C27128">
      <w:pPr>
        <w:pStyle w:val="ListParagraph"/>
        <w:numPr>
          <w:ilvl w:val="0"/>
          <w:numId w:val="48"/>
        </w:numPr>
        <w:spacing w:after="0" w:line="276" w:lineRule="auto"/>
        <w:jc w:val="both"/>
        <w:rPr>
          <w:rFonts w:ascii="Arial" w:eastAsia="Times New Roman" w:hAnsi="Arial" w:cs="Arial"/>
          <w:lang w:eastAsia="en-GB"/>
        </w:rPr>
      </w:pPr>
      <w:r w:rsidRPr="00A0295F">
        <w:rPr>
          <w:rFonts w:ascii="Arial" w:hAnsi="Arial" w:cs="Arial"/>
          <w:lang w:eastAsia="en-GB"/>
        </w:rPr>
        <w:t>A hard drive with Word and PDF versions of the report including annexes, power point presentation of findings and any data sets</w:t>
      </w:r>
      <w:r w:rsidR="00CC027E" w:rsidRPr="00A0295F">
        <w:rPr>
          <w:rFonts w:ascii="Arial" w:hAnsi="Arial" w:cs="Arial"/>
          <w:lang w:eastAsia="en-GB"/>
        </w:rPr>
        <w:t>.</w:t>
      </w:r>
    </w:p>
    <w:p w14:paraId="36A6958A" w14:textId="77777777" w:rsidR="00944AEB" w:rsidRPr="004604C7" w:rsidRDefault="00944AEB" w:rsidP="00C27128">
      <w:pPr>
        <w:pStyle w:val="ListParagraph"/>
        <w:spacing w:after="0" w:line="276" w:lineRule="auto"/>
        <w:jc w:val="both"/>
        <w:rPr>
          <w:rFonts w:ascii="Arial" w:eastAsia="Times New Roman" w:hAnsi="Arial" w:cs="Arial"/>
          <w:color w:val="92D050"/>
          <w:lang w:eastAsia="en-GB"/>
        </w:rPr>
      </w:pPr>
    </w:p>
    <w:p w14:paraId="2FC39FD5"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ADMINISTRATION AND LOGISTICAL ARRANGEMENTS</w:t>
      </w:r>
    </w:p>
    <w:p w14:paraId="7ED779E7" w14:textId="72552645" w:rsidR="00944AEB" w:rsidRPr="004604C7" w:rsidRDefault="00944AEB" w:rsidP="00C27128">
      <w:pPr>
        <w:spacing w:line="276" w:lineRule="auto"/>
        <w:jc w:val="both"/>
        <w:rPr>
          <w:rFonts w:ascii="Arial" w:hAnsi="Arial" w:cs="Arial"/>
          <w:sz w:val="22"/>
          <w:szCs w:val="22"/>
          <w:lang w:eastAsia="en-GB"/>
        </w:rPr>
      </w:pPr>
      <w:r w:rsidRPr="004604C7">
        <w:rPr>
          <w:rFonts w:ascii="Arial" w:hAnsi="Arial" w:cs="Arial"/>
          <w:sz w:val="22"/>
          <w:szCs w:val="22"/>
          <w:lang w:eastAsia="en-GB"/>
        </w:rPr>
        <w:t xml:space="preserve">The </w:t>
      </w:r>
      <w:r w:rsidR="0064465F">
        <w:rPr>
          <w:rFonts w:ascii="Arial" w:hAnsi="Arial" w:cs="Arial"/>
          <w:sz w:val="22"/>
          <w:szCs w:val="22"/>
          <w:lang w:eastAsia="en-GB"/>
        </w:rPr>
        <w:t>C</w:t>
      </w:r>
      <w:r w:rsidRPr="004604C7">
        <w:rPr>
          <w:rFonts w:ascii="Arial" w:hAnsi="Arial" w:cs="Arial"/>
          <w:sz w:val="22"/>
          <w:szCs w:val="22"/>
          <w:lang w:eastAsia="en-GB"/>
        </w:rPr>
        <w:t>onsultant will report to the</w:t>
      </w:r>
      <w:r w:rsidR="004A1C17" w:rsidRPr="004604C7">
        <w:rPr>
          <w:rFonts w:ascii="Arial" w:hAnsi="Arial" w:cs="Arial"/>
          <w:sz w:val="22"/>
          <w:szCs w:val="22"/>
          <w:lang w:eastAsia="en-GB"/>
        </w:rPr>
        <w:t xml:space="preserve"> GREENTech4CE Lead</w:t>
      </w:r>
      <w:r w:rsidRPr="004604C7">
        <w:rPr>
          <w:rFonts w:ascii="Arial" w:hAnsi="Arial" w:cs="Arial"/>
          <w:sz w:val="22"/>
          <w:szCs w:val="22"/>
          <w:lang w:eastAsia="en-GB"/>
        </w:rPr>
        <w:t xml:space="preserve"> M&amp;E </w:t>
      </w:r>
      <w:r w:rsidR="004A1C17" w:rsidRPr="004604C7">
        <w:rPr>
          <w:rFonts w:ascii="Arial" w:hAnsi="Arial" w:cs="Arial"/>
          <w:sz w:val="22"/>
          <w:szCs w:val="22"/>
          <w:lang w:eastAsia="en-GB"/>
        </w:rPr>
        <w:t>E</w:t>
      </w:r>
      <w:r w:rsidRPr="004604C7">
        <w:rPr>
          <w:rFonts w:ascii="Arial" w:hAnsi="Arial" w:cs="Arial"/>
          <w:sz w:val="22"/>
          <w:szCs w:val="22"/>
          <w:lang w:eastAsia="en-GB"/>
        </w:rPr>
        <w:t>xpert and will work closely with programme implementation team. The Consultant will be responsible for all logistic arrangements for him/herself and members of the review team. The Fund Manager will facilitate convening of meetings and site visits where necessary. All relevant expenses should be covered by the review contract budget.</w:t>
      </w:r>
    </w:p>
    <w:p w14:paraId="2B6C96B8" w14:textId="77777777" w:rsidR="00944AEB" w:rsidRPr="004604C7" w:rsidRDefault="00944AEB" w:rsidP="00C27128">
      <w:pPr>
        <w:pStyle w:val="ListParagraph"/>
        <w:spacing w:after="0" w:line="276" w:lineRule="auto"/>
        <w:ind w:left="426"/>
        <w:jc w:val="both"/>
        <w:rPr>
          <w:rFonts w:ascii="Arial" w:eastAsia="Times New Roman" w:hAnsi="Arial" w:cs="Arial"/>
          <w:lang w:eastAsia="en-GB"/>
        </w:rPr>
      </w:pPr>
    </w:p>
    <w:p w14:paraId="7FDED7CC" w14:textId="77777777" w:rsidR="00944AEB" w:rsidRPr="004604C7" w:rsidRDefault="00944AEB" w:rsidP="00C27128">
      <w:pPr>
        <w:spacing w:line="276" w:lineRule="auto"/>
        <w:contextualSpacing/>
        <w:jc w:val="both"/>
        <w:rPr>
          <w:rFonts w:ascii="Arial" w:hAnsi="Arial" w:cs="Arial"/>
          <w:sz w:val="22"/>
          <w:szCs w:val="22"/>
        </w:rPr>
      </w:pPr>
      <w:r w:rsidRPr="004604C7">
        <w:rPr>
          <w:rFonts w:ascii="Arial" w:hAnsi="Arial" w:cs="Arial"/>
          <w:sz w:val="22"/>
          <w:szCs w:val="22"/>
        </w:rPr>
        <w:t>The successful Consultant(s) will be provided with all documents relevant to the project such as the Theory of Change, Results Framework, programme implementation periodic reports, Donor Reports as appropriate etc. to support the review process</w:t>
      </w:r>
    </w:p>
    <w:p w14:paraId="2309ADD7" w14:textId="77777777" w:rsidR="00944AEB" w:rsidRPr="004604C7" w:rsidRDefault="00944AEB" w:rsidP="00C27128">
      <w:pPr>
        <w:pStyle w:val="BodyTextIndent"/>
        <w:spacing w:line="276" w:lineRule="auto"/>
        <w:ind w:left="0"/>
        <w:jc w:val="both"/>
        <w:rPr>
          <w:rFonts w:ascii="Arial" w:hAnsi="Arial" w:cs="Arial"/>
          <w:color w:val="92D050"/>
        </w:rPr>
      </w:pPr>
    </w:p>
    <w:p w14:paraId="455EC6D4"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QUALIFICATIONS AND REQUIRED COMPETENCIES</w:t>
      </w:r>
    </w:p>
    <w:p w14:paraId="5FFE95EB" w14:textId="77777777" w:rsidR="00944AEB" w:rsidRPr="004604C7" w:rsidRDefault="00944AEB" w:rsidP="00C27128">
      <w:pPr>
        <w:spacing w:line="276" w:lineRule="auto"/>
        <w:ind w:left="360"/>
        <w:jc w:val="both"/>
        <w:rPr>
          <w:rFonts w:ascii="Arial" w:hAnsi="Arial" w:cs="Arial"/>
          <w:sz w:val="22"/>
          <w:szCs w:val="22"/>
          <w:lang w:eastAsia="en-GB"/>
        </w:rPr>
      </w:pPr>
      <w:r w:rsidRPr="004604C7">
        <w:rPr>
          <w:rFonts w:ascii="Arial" w:hAnsi="Arial" w:cs="Arial"/>
          <w:sz w:val="22"/>
          <w:szCs w:val="22"/>
          <w:lang w:eastAsia="en-GB"/>
        </w:rPr>
        <w:t>The consulting firm / consultant must:</w:t>
      </w:r>
    </w:p>
    <w:p w14:paraId="44CA4F95" w14:textId="77777777" w:rsidR="00944AEB" w:rsidRPr="004604C7" w:rsidRDefault="00944AEB" w:rsidP="00C27128">
      <w:pPr>
        <w:spacing w:line="276" w:lineRule="auto"/>
        <w:ind w:left="360"/>
        <w:jc w:val="both"/>
        <w:rPr>
          <w:rFonts w:ascii="Arial" w:hAnsi="Arial" w:cs="Arial"/>
          <w:sz w:val="22"/>
          <w:szCs w:val="22"/>
          <w:lang w:eastAsia="en-GB"/>
        </w:rPr>
      </w:pPr>
    </w:p>
    <w:p w14:paraId="205BE098" w14:textId="77777777" w:rsidR="00944AEB" w:rsidRPr="004604C7" w:rsidRDefault="00944AEB" w:rsidP="00C27128">
      <w:pPr>
        <w:spacing w:line="276" w:lineRule="auto"/>
        <w:jc w:val="both"/>
        <w:rPr>
          <w:rFonts w:ascii="Arial" w:hAnsi="Arial" w:cs="Arial"/>
          <w:i/>
          <w:iCs/>
          <w:sz w:val="22"/>
          <w:szCs w:val="22"/>
          <w:lang w:eastAsia="en-GB"/>
        </w:rPr>
      </w:pPr>
      <w:r w:rsidRPr="004604C7">
        <w:rPr>
          <w:rFonts w:ascii="Arial" w:hAnsi="Arial" w:cs="Arial"/>
          <w:i/>
          <w:iCs/>
          <w:sz w:val="22"/>
          <w:szCs w:val="22"/>
          <w:lang w:eastAsia="en-GB"/>
        </w:rPr>
        <w:t>Specific competencies</w:t>
      </w:r>
    </w:p>
    <w:p w14:paraId="7FC3FC69" w14:textId="1F72BEAF" w:rsidR="00944AEB" w:rsidRPr="004604C7" w:rsidRDefault="00944AEB" w:rsidP="00C27128">
      <w:pPr>
        <w:pStyle w:val="ListParagraph"/>
        <w:numPr>
          <w:ilvl w:val="0"/>
          <w:numId w:val="43"/>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 xml:space="preserve">The lead </w:t>
      </w:r>
      <w:r w:rsidR="00BB4F9A">
        <w:rPr>
          <w:rFonts w:ascii="Arial" w:eastAsia="Times New Roman" w:hAnsi="Arial" w:cs="Arial"/>
          <w:lang w:eastAsia="en-GB"/>
        </w:rPr>
        <w:t>C</w:t>
      </w:r>
      <w:r w:rsidRPr="004604C7">
        <w:rPr>
          <w:rFonts w:ascii="Arial" w:eastAsia="Times New Roman" w:hAnsi="Arial" w:cs="Arial"/>
          <w:lang w:eastAsia="en-GB"/>
        </w:rPr>
        <w:t xml:space="preserve">onsultant should have at least a </w:t>
      </w:r>
      <w:r w:rsidR="00383F44" w:rsidRPr="004604C7">
        <w:rPr>
          <w:rFonts w:ascii="Arial" w:eastAsia="Times New Roman" w:hAnsi="Arial" w:cs="Arial"/>
          <w:lang w:eastAsia="en-GB"/>
        </w:rPr>
        <w:t xml:space="preserve">master’s degree in International </w:t>
      </w:r>
      <w:r w:rsidR="005D15CC" w:rsidRPr="004604C7">
        <w:rPr>
          <w:rFonts w:ascii="Arial" w:eastAsia="Times New Roman" w:hAnsi="Arial" w:cs="Arial"/>
          <w:lang w:eastAsia="en-GB"/>
        </w:rPr>
        <w:t>D</w:t>
      </w:r>
      <w:r w:rsidR="00383F44" w:rsidRPr="004604C7">
        <w:rPr>
          <w:rFonts w:ascii="Arial" w:eastAsia="Times New Roman" w:hAnsi="Arial" w:cs="Arial"/>
          <w:lang w:eastAsia="en-GB"/>
        </w:rPr>
        <w:t>evelopment</w:t>
      </w:r>
      <w:r w:rsidRPr="004604C7">
        <w:rPr>
          <w:rFonts w:ascii="Arial" w:eastAsia="Times New Roman" w:hAnsi="Arial" w:cs="Arial"/>
          <w:lang w:eastAsia="en-GB"/>
        </w:rPr>
        <w:t>, Development Economics/Planning, M&amp;E, Economics, Statistics, or any other related university degree in the field related to the assignment</w:t>
      </w:r>
      <w:r w:rsidR="005D15CC" w:rsidRPr="004604C7">
        <w:rPr>
          <w:rFonts w:ascii="Arial" w:eastAsia="Times New Roman" w:hAnsi="Arial" w:cs="Arial"/>
          <w:lang w:eastAsia="en-GB"/>
        </w:rPr>
        <w:t>.</w:t>
      </w:r>
    </w:p>
    <w:p w14:paraId="1CB73624" w14:textId="73BA3332" w:rsidR="00944AEB" w:rsidRPr="004604C7" w:rsidRDefault="00944AEB" w:rsidP="00C27128">
      <w:pPr>
        <w:pStyle w:val="ListParagraph"/>
        <w:numPr>
          <w:ilvl w:val="0"/>
          <w:numId w:val="43"/>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 xml:space="preserve">At least 10 years’ experience in </w:t>
      </w:r>
      <w:r w:rsidR="005D15CC" w:rsidRPr="004604C7">
        <w:rPr>
          <w:rFonts w:ascii="Arial" w:eastAsia="Times New Roman" w:hAnsi="Arial" w:cs="Arial"/>
          <w:lang w:eastAsia="en-GB"/>
        </w:rPr>
        <w:t xml:space="preserve">evaluation </w:t>
      </w:r>
      <w:r w:rsidRPr="004604C7">
        <w:rPr>
          <w:rFonts w:ascii="Arial" w:eastAsia="Times New Roman" w:hAnsi="Arial" w:cs="Arial"/>
          <w:lang w:eastAsia="en-GB"/>
        </w:rPr>
        <w:t>of private sector programmes: e.g. programmes in Market Systems Development</w:t>
      </w:r>
      <w:r w:rsidR="00D21006" w:rsidRPr="004604C7">
        <w:rPr>
          <w:rFonts w:ascii="Arial" w:eastAsia="Times New Roman" w:hAnsi="Arial" w:cs="Arial"/>
          <w:lang w:eastAsia="en-GB"/>
        </w:rPr>
        <w:t xml:space="preserve">, preferably within green, circular and digital economy, SME development </w:t>
      </w:r>
      <w:r w:rsidRPr="004604C7">
        <w:rPr>
          <w:rFonts w:ascii="Arial" w:eastAsia="Times New Roman" w:hAnsi="Arial" w:cs="Arial"/>
          <w:lang w:eastAsia="en-GB"/>
        </w:rPr>
        <w:t>or other related fields.</w:t>
      </w:r>
      <w:r w:rsidR="00356597">
        <w:rPr>
          <w:rFonts w:ascii="Arial" w:eastAsia="Times New Roman" w:hAnsi="Arial" w:cs="Arial"/>
          <w:lang w:eastAsia="en-GB"/>
        </w:rPr>
        <w:t xml:space="preserve"> Experience of challenge funds </w:t>
      </w:r>
      <w:r w:rsidR="00B04B94">
        <w:rPr>
          <w:rFonts w:ascii="Arial" w:eastAsia="Times New Roman" w:hAnsi="Arial" w:cs="Arial"/>
          <w:lang w:eastAsia="en-GB"/>
        </w:rPr>
        <w:t>is an added advantage.</w:t>
      </w:r>
    </w:p>
    <w:p w14:paraId="3BA4CF6E" w14:textId="77777777" w:rsidR="005D15CC" w:rsidRPr="004604C7" w:rsidRDefault="005D15CC" w:rsidP="00C27128">
      <w:pPr>
        <w:spacing w:line="276" w:lineRule="auto"/>
        <w:jc w:val="both"/>
        <w:rPr>
          <w:rFonts w:ascii="Arial" w:hAnsi="Arial" w:cs="Arial"/>
          <w:sz w:val="22"/>
          <w:szCs w:val="22"/>
          <w:lang w:eastAsia="en-GB"/>
        </w:rPr>
      </w:pPr>
    </w:p>
    <w:p w14:paraId="3CB68C52" w14:textId="77777777" w:rsidR="00944AEB" w:rsidRPr="004604C7" w:rsidRDefault="00944AEB" w:rsidP="00C27128">
      <w:pPr>
        <w:spacing w:line="276" w:lineRule="auto"/>
        <w:jc w:val="both"/>
        <w:rPr>
          <w:rFonts w:ascii="Arial" w:hAnsi="Arial" w:cs="Arial"/>
          <w:i/>
          <w:iCs/>
          <w:sz w:val="22"/>
          <w:szCs w:val="22"/>
          <w:lang w:eastAsia="en-GB"/>
        </w:rPr>
      </w:pPr>
      <w:r w:rsidRPr="004604C7">
        <w:rPr>
          <w:rFonts w:ascii="Arial" w:hAnsi="Arial" w:cs="Arial"/>
          <w:i/>
          <w:iCs/>
          <w:sz w:val="22"/>
          <w:szCs w:val="22"/>
          <w:lang w:eastAsia="en-GB"/>
        </w:rPr>
        <w:t>General competencies</w:t>
      </w:r>
    </w:p>
    <w:p w14:paraId="42320C11" w14:textId="77777777" w:rsidR="00944AEB" w:rsidRPr="004604C7" w:rsidRDefault="00944AEB" w:rsidP="00C27128">
      <w:pPr>
        <w:pStyle w:val="ListParagraph"/>
        <w:numPr>
          <w:ilvl w:val="0"/>
          <w:numId w:val="43"/>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Strong understanding of various quantitative and qualitative review methodologies, surveys, and econometric/statistical analysis</w:t>
      </w:r>
      <w:r w:rsidR="00CC027E" w:rsidRPr="004604C7">
        <w:rPr>
          <w:rFonts w:ascii="Arial" w:eastAsia="Times New Roman" w:hAnsi="Arial" w:cs="Arial"/>
          <w:lang w:eastAsia="en-GB"/>
        </w:rPr>
        <w:t>.</w:t>
      </w:r>
      <w:r w:rsidRPr="004604C7">
        <w:rPr>
          <w:rFonts w:ascii="Arial" w:eastAsia="Times New Roman" w:hAnsi="Arial" w:cs="Arial"/>
          <w:lang w:eastAsia="en-GB"/>
        </w:rPr>
        <w:t xml:space="preserve"> </w:t>
      </w:r>
    </w:p>
    <w:p w14:paraId="1505BFB2" w14:textId="77777777" w:rsidR="00944AEB" w:rsidRPr="004604C7" w:rsidRDefault="00944AEB" w:rsidP="00C27128">
      <w:pPr>
        <w:pStyle w:val="ListParagraph"/>
        <w:numPr>
          <w:ilvl w:val="0"/>
          <w:numId w:val="43"/>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Demonstrated ability to communicate complex studies and findings in an accessible way for non-technical readers, including presentation of data in visually appealing ways, highly structured and rigorous summaries of findings and robust and accessible syntheses of key lessons.</w:t>
      </w:r>
    </w:p>
    <w:p w14:paraId="1897C923" w14:textId="77777777" w:rsidR="00944AEB" w:rsidRPr="004604C7" w:rsidRDefault="00944AEB" w:rsidP="00C27128">
      <w:pPr>
        <w:pStyle w:val="ListParagraph"/>
        <w:numPr>
          <w:ilvl w:val="0"/>
          <w:numId w:val="43"/>
        </w:numPr>
        <w:spacing w:after="0" w:line="276" w:lineRule="auto"/>
        <w:jc w:val="both"/>
        <w:rPr>
          <w:rFonts w:ascii="Arial" w:eastAsia="Times New Roman" w:hAnsi="Arial" w:cs="Arial"/>
          <w:lang w:eastAsia="en-GB"/>
        </w:rPr>
      </w:pPr>
      <w:r w:rsidRPr="004604C7">
        <w:rPr>
          <w:rFonts w:ascii="Arial" w:eastAsia="Times New Roman" w:hAnsi="Arial" w:cs="Arial"/>
          <w:lang w:eastAsia="en-GB"/>
        </w:rPr>
        <w:t xml:space="preserve">Experience with EU and other donor programmes is preferred. </w:t>
      </w:r>
    </w:p>
    <w:p w14:paraId="120C0368" w14:textId="77777777" w:rsidR="00944AEB" w:rsidRPr="004604C7" w:rsidRDefault="00944AEB" w:rsidP="00C27128">
      <w:pPr>
        <w:spacing w:line="276" w:lineRule="auto"/>
        <w:jc w:val="both"/>
        <w:rPr>
          <w:rFonts w:ascii="Arial" w:hAnsi="Arial" w:cs="Arial"/>
          <w:sz w:val="22"/>
          <w:szCs w:val="22"/>
          <w:lang w:eastAsia="en-GB"/>
        </w:rPr>
      </w:pPr>
    </w:p>
    <w:p w14:paraId="71EB6F64" w14:textId="77777777" w:rsidR="00944AEB" w:rsidRPr="004604C7" w:rsidRDefault="00944AEB" w:rsidP="00C27128">
      <w:pPr>
        <w:spacing w:line="276" w:lineRule="auto"/>
        <w:jc w:val="both"/>
        <w:rPr>
          <w:rFonts w:ascii="Arial" w:hAnsi="Arial" w:cs="Arial"/>
          <w:color w:val="92D050"/>
          <w:sz w:val="22"/>
          <w:szCs w:val="22"/>
          <w:lang w:eastAsia="en-GB"/>
        </w:rPr>
      </w:pPr>
      <w:r w:rsidRPr="004604C7">
        <w:rPr>
          <w:rFonts w:ascii="Arial" w:hAnsi="Arial" w:cs="Arial"/>
          <w:sz w:val="22"/>
          <w:szCs w:val="22"/>
          <w:lang w:eastAsia="en-GB"/>
        </w:rPr>
        <w:t>Recommendation letters / references from previous clients should be provided covering the above.</w:t>
      </w:r>
    </w:p>
    <w:p w14:paraId="701D3B86" w14:textId="77777777" w:rsidR="00944AEB" w:rsidRPr="004604C7" w:rsidRDefault="00944AEB" w:rsidP="00C27128">
      <w:pPr>
        <w:spacing w:line="276" w:lineRule="auto"/>
        <w:ind w:left="720"/>
        <w:jc w:val="both"/>
        <w:rPr>
          <w:rFonts w:ascii="Arial" w:hAnsi="Arial" w:cs="Arial"/>
          <w:color w:val="92D050"/>
          <w:sz w:val="22"/>
          <w:szCs w:val="22"/>
        </w:rPr>
      </w:pPr>
      <w:r w:rsidRPr="004604C7">
        <w:rPr>
          <w:rFonts w:ascii="Arial" w:hAnsi="Arial" w:cs="Arial"/>
          <w:color w:val="92D050"/>
          <w:sz w:val="22"/>
          <w:szCs w:val="22"/>
          <w:lang w:eastAsia="en-GB"/>
        </w:rPr>
        <w:t xml:space="preserve"> </w:t>
      </w:r>
    </w:p>
    <w:p w14:paraId="2C81689C"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TIME FRAME FOR THE ASSIGNMENT</w:t>
      </w:r>
    </w:p>
    <w:p w14:paraId="7B96F5EB" w14:textId="09F8E26F" w:rsidR="00944AEB" w:rsidRPr="004604C7" w:rsidRDefault="1447701E" w:rsidP="00C27128">
      <w:pPr>
        <w:pStyle w:val="BodyTextIndent"/>
        <w:spacing w:line="276" w:lineRule="auto"/>
        <w:ind w:left="0"/>
        <w:jc w:val="both"/>
        <w:rPr>
          <w:rFonts w:ascii="Arial" w:hAnsi="Arial" w:cs="Arial"/>
          <w:color w:val="92D050"/>
        </w:rPr>
      </w:pPr>
      <w:r w:rsidRPr="1447701E">
        <w:rPr>
          <w:rFonts w:ascii="Arial" w:hAnsi="Arial" w:cs="Arial"/>
        </w:rPr>
        <w:t>It is anticipated that the consultants will start work on 1</w:t>
      </w:r>
      <w:r w:rsidRPr="1447701E">
        <w:rPr>
          <w:rFonts w:ascii="Arial" w:hAnsi="Arial" w:cs="Arial"/>
          <w:vertAlign w:val="superscript"/>
        </w:rPr>
        <w:t>st</w:t>
      </w:r>
      <w:r w:rsidRPr="1447701E">
        <w:rPr>
          <w:rFonts w:ascii="Arial" w:hAnsi="Arial" w:cs="Arial"/>
        </w:rPr>
        <w:t xml:space="preserve"> June 2026. 30 working days are estimated number for completing the assignment. The Consultant will conduct the field work and give a preliminary presentation of findings to SHA, Consortium Partners and the EU project manager immediately after completing the fieldwork. The Consultant will have to submit the draft report to the Team Leader for review by 30</w:t>
      </w:r>
      <w:r w:rsidRPr="1447701E">
        <w:rPr>
          <w:rFonts w:ascii="Arial" w:hAnsi="Arial" w:cs="Arial"/>
          <w:vertAlign w:val="superscript"/>
        </w:rPr>
        <w:t>th</w:t>
      </w:r>
      <w:r w:rsidRPr="1447701E">
        <w:rPr>
          <w:rFonts w:ascii="Arial" w:hAnsi="Arial" w:cs="Arial"/>
        </w:rPr>
        <w:t xml:space="preserve"> </w:t>
      </w:r>
      <w:r w:rsidR="1E928742" w:rsidRPr="1E928742">
        <w:rPr>
          <w:rFonts w:ascii="Arial" w:hAnsi="Arial" w:cs="Arial"/>
        </w:rPr>
        <w:t>June</w:t>
      </w:r>
      <w:r w:rsidRPr="1447701E">
        <w:rPr>
          <w:rFonts w:ascii="Arial" w:hAnsi="Arial" w:cs="Arial"/>
        </w:rPr>
        <w:t xml:space="preserve"> 2026 and the final report be submitted by </w:t>
      </w:r>
      <w:r w:rsidR="2998421F" w:rsidRPr="2998421F">
        <w:rPr>
          <w:rFonts w:ascii="Arial" w:hAnsi="Arial" w:cs="Arial"/>
        </w:rPr>
        <w:t>10</w:t>
      </w:r>
      <w:r w:rsidR="2998421F" w:rsidRPr="2998421F">
        <w:rPr>
          <w:rFonts w:ascii="Arial" w:hAnsi="Arial" w:cs="Arial"/>
          <w:vertAlign w:val="superscript"/>
        </w:rPr>
        <w:t>th</w:t>
      </w:r>
      <w:r w:rsidR="2998421F" w:rsidRPr="2998421F">
        <w:rPr>
          <w:rFonts w:ascii="Arial" w:hAnsi="Arial" w:cs="Arial"/>
        </w:rPr>
        <w:t xml:space="preserve"> July</w:t>
      </w:r>
      <w:r w:rsidRPr="1447701E">
        <w:rPr>
          <w:rFonts w:ascii="Arial" w:hAnsi="Arial" w:cs="Arial"/>
        </w:rPr>
        <w:t xml:space="preserve"> 2026. A presentation to the Technical Committee of the Programme Steering Committee will be made on a date to be confirmed.</w:t>
      </w:r>
    </w:p>
    <w:p w14:paraId="696542FC"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 xml:space="preserve">BUDGET </w:t>
      </w:r>
    </w:p>
    <w:p w14:paraId="6CC7BF18" w14:textId="77777777" w:rsidR="00944AEB" w:rsidRPr="004604C7" w:rsidRDefault="0FFF3B6A" w:rsidP="0FFF3B6A">
      <w:pPr>
        <w:pStyle w:val="ListParagraph"/>
        <w:shd w:val="clear" w:color="auto" w:fill="FFFFFF" w:themeFill="background1"/>
        <w:spacing w:after="0" w:line="276" w:lineRule="auto"/>
        <w:ind w:left="0"/>
        <w:jc w:val="both"/>
        <w:rPr>
          <w:rFonts w:ascii="Arial" w:hAnsi="Arial" w:cs="Arial"/>
          <w:color w:val="92D050"/>
        </w:rPr>
      </w:pPr>
      <w:r w:rsidRPr="0FFF3B6A">
        <w:rPr>
          <w:rFonts w:ascii="Arial" w:hAnsi="Arial" w:cs="Arial"/>
        </w:rPr>
        <w:t>The maximum budget for the assignment including fees, logistics, consumables and contingencies is around EUR 30,000.</w:t>
      </w:r>
    </w:p>
    <w:p w14:paraId="45FAFE18" w14:textId="77777777" w:rsidR="00944AEB" w:rsidRPr="004604C7" w:rsidRDefault="00944AEB" w:rsidP="00C27128">
      <w:pPr>
        <w:spacing w:line="276" w:lineRule="auto"/>
        <w:jc w:val="both"/>
        <w:rPr>
          <w:rFonts w:ascii="Arial" w:hAnsi="Arial" w:cs="Arial"/>
          <w:color w:val="92D050"/>
          <w:sz w:val="22"/>
          <w:szCs w:val="22"/>
        </w:rPr>
      </w:pPr>
    </w:p>
    <w:p w14:paraId="48F2BAA8"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 xml:space="preserve">OTHER </w:t>
      </w:r>
    </w:p>
    <w:p w14:paraId="22EF9401" w14:textId="77777777" w:rsidR="00944AEB" w:rsidRPr="004604C7" w:rsidRDefault="00944AEB" w:rsidP="00C27128">
      <w:pPr>
        <w:pStyle w:val="Heading2"/>
        <w:spacing w:line="276" w:lineRule="auto"/>
        <w:jc w:val="both"/>
        <w:rPr>
          <w:rFonts w:ascii="Arial" w:eastAsia="Calibri" w:hAnsi="Arial" w:cs="Arial"/>
          <w:b/>
          <w:bCs/>
          <w:color w:val="92D050"/>
          <w:sz w:val="22"/>
          <w:szCs w:val="22"/>
        </w:rPr>
      </w:pPr>
      <w:r w:rsidRPr="004604C7">
        <w:rPr>
          <w:rFonts w:ascii="Arial" w:eastAsia="Calibri" w:hAnsi="Arial" w:cs="Arial"/>
          <w:b/>
          <w:bCs/>
          <w:color w:val="92D050"/>
          <w:sz w:val="22"/>
          <w:szCs w:val="22"/>
        </w:rPr>
        <w:t>Suppliers Code of Conduct</w:t>
      </w:r>
    </w:p>
    <w:p w14:paraId="5C0D9D17" w14:textId="77777777" w:rsidR="00944AEB" w:rsidRPr="004604C7" w:rsidRDefault="00944AEB" w:rsidP="00C27128">
      <w:pPr>
        <w:spacing w:line="276" w:lineRule="auto"/>
        <w:jc w:val="both"/>
        <w:rPr>
          <w:rFonts w:ascii="Arial" w:hAnsi="Arial" w:cs="Arial"/>
          <w:sz w:val="22"/>
          <w:szCs w:val="22"/>
        </w:rPr>
      </w:pPr>
      <w:r w:rsidRPr="004604C7">
        <w:rPr>
          <w:rFonts w:ascii="Arial" w:hAnsi="Arial" w:cs="Arial"/>
          <w:sz w:val="22"/>
          <w:szCs w:val="22"/>
        </w:rPr>
        <w:t>Self Help Africa expects all its suppliers to respect the following Code of Conduct:</w:t>
      </w:r>
    </w:p>
    <w:p w14:paraId="11505413" w14:textId="77777777" w:rsidR="00944AEB" w:rsidRPr="004604C7" w:rsidRDefault="00944AEB" w:rsidP="00C27128">
      <w:pPr>
        <w:pStyle w:val="ListParagraph"/>
        <w:numPr>
          <w:ilvl w:val="0"/>
          <w:numId w:val="46"/>
        </w:numPr>
        <w:autoSpaceDE w:val="0"/>
        <w:autoSpaceDN w:val="0"/>
        <w:adjustRightInd w:val="0"/>
        <w:spacing w:after="0" w:line="276" w:lineRule="auto"/>
        <w:jc w:val="both"/>
        <w:rPr>
          <w:rFonts w:ascii="Arial" w:hAnsi="Arial" w:cs="Arial"/>
          <w:color w:val="000000"/>
          <w:lang w:val="en-IE"/>
        </w:rPr>
      </w:pPr>
      <w:r w:rsidRPr="004604C7">
        <w:rPr>
          <w:rFonts w:ascii="Arial" w:hAnsi="Arial" w:cs="Arial"/>
        </w:rPr>
        <w:t>Employment is freely chosen.</w:t>
      </w:r>
      <w:r w:rsidRPr="004604C7">
        <w:rPr>
          <w:rFonts w:ascii="Arial" w:hAnsi="Arial" w:cs="Arial"/>
          <w:color w:val="000000"/>
          <w:lang w:val="en-IE"/>
        </w:rPr>
        <w:t xml:space="preserve"> </w:t>
      </w:r>
    </w:p>
    <w:p w14:paraId="51B612C6" w14:textId="77777777" w:rsidR="00944AEB" w:rsidRPr="004604C7" w:rsidRDefault="00944AEB" w:rsidP="00C27128">
      <w:pPr>
        <w:pStyle w:val="ListParagraph"/>
        <w:numPr>
          <w:ilvl w:val="0"/>
          <w:numId w:val="46"/>
        </w:numPr>
        <w:autoSpaceDE w:val="0"/>
        <w:autoSpaceDN w:val="0"/>
        <w:adjustRightInd w:val="0"/>
        <w:spacing w:after="0" w:line="276" w:lineRule="auto"/>
        <w:jc w:val="both"/>
        <w:rPr>
          <w:rFonts w:ascii="Arial" w:hAnsi="Arial" w:cs="Arial"/>
        </w:rPr>
      </w:pPr>
      <w:r w:rsidRPr="004604C7">
        <w:rPr>
          <w:rFonts w:ascii="Arial" w:hAnsi="Arial" w:cs="Arial"/>
          <w:color w:val="000000"/>
          <w:lang w:val="en-IE"/>
        </w:rPr>
        <w:t xml:space="preserve">Goods and services purchased are produced and developed under conditions that do not involve the abuse or exploitation of any persons including - but not limited to – children, women, minority groups etc. </w:t>
      </w:r>
    </w:p>
    <w:p w14:paraId="50FB26C5"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The rights of staff to freedom of association are observed.</w:t>
      </w:r>
    </w:p>
    <w:p w14:paraId="4E0B4289"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Working conditions are safe and hygienic.</w:t>
      </w:r>
    </w:p>
    <w:p w14:paraId="21045BFC"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No exploitation of children is tolerated.</w:t>
      </w:r>
    </w:p>
    <w:p w14:paraId="3F49A0B3"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Wages paid are adequate to cover the cost of a reasonable living.</w:t>
      </w:r>
    </w:p>
    <w:p w14:paraId="06A6B7D1"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Working hours are not excessive and regular working hours are provided.</w:t>
      </w:r>
    </w:p>
    <w:p w14:paraId="44E676A9"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No discrimination is practiced.</w:t>
      </w:r>
    </w:p>
    <w:p w14:paraId="586311E7"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Local labour laws are complied with.</w:t>
      </w:r>
    </w:p>
    <w:p w14:paraId="6BB2A2F5"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Social rights are respected.</w:t>
      </w:r>
    </w:p>
    <w:p w14:paraId="3F227B41" w14:textId="77777777" w:rsidR="00944AEB" w:rsidRPr="004604C7" w:rsidRDefault="00944AEB" w:rsidP="00C27128">
      <w:pPr>
        <w:pStyle w:val="ListParagraph"/>
        <w:numPr>
          <w:ilvl w:val="0"/>
          <w:numId w:val="46"/>
        </w:numPr>
        <w:spacing w:after="0" w:line="276" w:lineRule="auto"/>
        <w:jc w:val="both"/>
        <w:rPr>
          <w:rFonts w:ascii="Arial" w:hAnsi="Arial" w:cs="Arial"/>
        </w:rPr>
      </w:pPr>
      <w:r w:rsidRPr="004604C7">
        <w:rPr>
          <w:rFonts w:ascii="Arial" w:hAnsi="Arial" w:cs="Arial"/>
        </w:rPr>
        <w:t xml:space="preserve">Suppliers comply with all statutory and other legal requirements relating to the environmental impacts of their business. </w:t>
      </w:r>
    </w:p>
    <w:p w14:paraId="28DF35D2" w14:textId="77777777" w:rsidR="00944AEB" w:rsidRPr="004604C7" w:rsidRDefault="00944AEB" w:rsidP="00C27128">
      <w:pPr>
        <w:spacing w:line="276" w:lineRule="auto"/>
        <w:jc w:val="both"/>
        <w:rPr>
          <w:rFonts w:ascii="Arial" w:hAnsi="Arial" w:cs="Arial"/>
          <w:b/>
          <w:bCs/>
          <w:sz w:val="22"/>
          <w:szCs w:val="22"/>
          <w:lang w:val="en-IE"/>
        </w:rPr>
      </w:pPr>
    </w:p>
    <w:p w14:paraId="16207E87" w14:textId="77777777" w:rsidR="00C57F6F" w:rsidRPr="004604C7" w:rsidRDefault="00944AEB" w:rsidP="00C27128">
      <w:pPr>
        <w:pStyle w:val="Heading2"/>
        <w:spacing w:line="276" w:lineRule="auto"/>
        <w:jc w:val="both"/>
        <w:rPr>
          <w:rFonts w:ascii="Arial" w:eastAsia="Calibri" w:hAnsi="Arial" w:cs="Arial"/>
          <w:b/>
          <w:bCs/>
          <w:color w:val="92D050"/>
          <w:sz w:val="22"/>
          <w:szCs w:val="22"/>
        </w:rPr>
      </w:pPr>
      <w:r w:rsidRPr="004604C7">
        <w:rPr>
          <w:rFonts w:ascii="Arial" w:eastAsia="Calibri" w:hAnsi="Arial" w:cs="Arial"/>
          <w:b/>
          <w:bCs/>
          <w:color w:val="92D050"/>
          <w:sz w:val="22"/>
          <w:szCs w:val="22"/>
        </w:rPr>
        <w:t>Confidentiality and Conflict of Interest</w:t>
      </w:r>
    </w:p>
    <w:p w14:paraId="77A2AE39" w14:textId="00AFF8EA" w:rsidR="00944AEB" w:rsidRPr="004604C7" w:rsidRDefault="00944AEB" w:rsidP="00C27128">
      <w:pPr>
        <w:pStyle w:val="ListParagraph"/>
        <w:spacing w:after="0" w:line="276" w:lineRule="auto"/>
        <w:ind w:left="0"/>
        <w:jc w:val="both"/>
        <w:rPr>
          <w:rFonts w:ascii="Arial" w:hAnsi="Arial" w:cs="Arial"/>
        </w:rPr>
      </w:pPr>
      <w:r w:rsidRPr="004604C7">
        <w:rPr>
          <w:rFonts w:ascii="Arial" w:hAnsi="Arial" w:cs="Arial"/>
        </w:rPr>
        <w:t xml:space="preserve">The </w:t>
      </w:r>
      <w:r w:rsidR="00BB4F9A">
        <w:rPr>
          <w:rFonts w:ascii="Arial" w:hAnsi="Arial" w:cs="Arial"/>
        </w:rPr>
        <w:t>A</w:t>
      </w:r>
      <w:r w:rsidRPr="004604C7">
        <w:rPr>
          <w:rFonts w:ascii="Arial" w:hAnsi="Arial" w:cs="Arial"/>
        </w:rPr>
        <w:t xml:space="preserve">pplicant undertakes that they will not at any time, either before or after the termination of this service, use or disclose or communicate to any person confidential information relating to the affairs of SHA. This restriction shall continue to apply after the termination of the service without limit in point of time. To ensure the independence of terms of their contract, the winning </w:t>
      </w:r>
      <w:r w:rsidR="00BB4F9A">
        <w:rPr>
          <w:rFonts w:ascii="Arial" w:hAnsi="Arial" w:cs="Arial"/>
        </w:rPr>
        <w:t>A</w:t>
      </w:r>
      <w:r w:rsidRPr="004604C7">
        <w:rPr>
          <w:rFonts w:ascii="Arial" w:hAnsi="Arial" w:cs="Arial"/>
        </w:rPr>
        <w:t>pplicant will sign a declaration certifying that they have no conflict of interests in relation to the tasks to be undertaken and undertake to inform SHA should this status change.</w:t>
      </w:r>
    </w:p>
    <w:p w14:paraId="3702AEDA" w14:textId="77777777" w:rsidR="00944AEB" w:rsidRPr="004604C7" w:rsidRDefault="00944AEB" w:rsidP="00C27128">
      <w:pPr>
        <w:pStyle w:val="ListParagraph"/>
        <w:spacing w:after="0" w:line="276" w:lineRule="auto"/>
        <w:ind w:left="225"/>
        <w:jc w:val="both"/>
        <w:rPr>
          <w:rFonts w:ascii="Arial" w:hAnsi="Arial" w:cs="Arial"/>
        </w:rPr>
      </w:pPr>
    </w:p>
    <w:p w14:paraId="7CFABB7B" w14:textId="77777777" w:rsidR="00944AEB" w:rsidRPr="004604C7" w:rsidRDefault="00944AEB" w:rsidP="00C27128">
      <w:pPr>
        <w:pStyle w:val="Heading2"/>
        <w:spacing w:line="276" w:lineRule="auto"/>
        <w:jc w:val="both"/>
        <w:rPr>
          <w:rFonts w:ascii="Arial" w:eastAsia="Calibri" w:hAnsi="Arial" w:cs="Arial"/>
          <w:b/>
          <w:bCs/>
          <w:color w:val="92D050"/>
          <w:sz w:val="22"/>
          <w:szCs w:val="22"/>
        </w:rPr>
      </w:pPr>
      <w:r w:rsidRPr="004604C7">
        <w:rPr>
          <w:rFonts w:ascii="Arial" w:eastAsia="Calibri" w:hAnsi="Arial" w:cs="Arial"/>
          <w:b/>
          <w:bCs/>
          <w:color w:val="92D050"/>
          <w:sz w:val="22"/>
          <w:szCs w:val="22"/>
        </w:rPr>
        <w:t>Terrorism and Sanctions</w:t>
      </w:r>
    </w:p>
    <w:p w14:paraId="39F7592B" w14:textId="77777777" w:rsidR="00944AEB" w:rsidRPr="004604C7" w:rsidRDefault="00944AEB" w:rsidP="00C27128">
      <w:pPr>
        <w:spacing w:line="276" w:lineRule="auto"/>
        <w:jc w:val="both"/>
        <w:rPr>
          <w:rFonts w:ascii="Arial" w:hAnsi="Arial" w:cs="Arial"/>
          <w:sz w:val="22"/>
          <w:szCs w:val="22"/>
        </w:rPr>
      </w:pPr>
      <w:r w:rsidRPr="004604C7">
        <w:rPr>
          <w:rFonts w:ascii="Arial" w:hAnsi="Arial" w:cs="Arial"/>
          <w:sz w:val="22"/>
          <w:szCs w:val="22"/>
        </w:rPr>
        <w:t>Terrorism and Sanctions:  Self Help Africa (SHA) does not engage in transactions with any terrorist group/individual/entity involved with or associated with terrorism or individuals/entities that have active exclusion orders and/or sanctions against them.  SHA will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you/your company nor any affiliate or a subsidiary controlled by you/your company are associated with any known terrorist group or is/are the subject of any relevant international exclusion order and/or sanctions. Self Help Africa perform checks of suppliers against international lists including but not limited to those generated by the European Union (List of person, groups, and entities to which Regulation EC.No.2580/2001 applies, the US Government (Office of Foreign Assets Control list of specially designated Nationals and blocked persons and the United Nations (Consolidated List).</w:t>
      </w:r>
    </w:p>
    <w:p w14:paraId="61248748" w14:textId="77777777" w:rsidR="00944AEB" w:rsidRPr="004604C7" w:rsidRDefault="00944AEB" w:rsidP="00C27128">
      <w:pPr>
        <w:pStyle w:val="Heading2"/>
        <w:spacing w:line="276" w:lineRule="auto"/>
        <w:jc w:val="both"/>
        <w:rPr>
          <w:rFonts w:ascii="Arial" w:eastAsia="Calibri" w:hAnsi="Arial" w:cs="Arial"/>
          <w:b/>
          <w:bCs/>
          <w:color w:val="92D050"/>
          <w:sz w:val="22"/>
          <w:szCs w:val="22"/>
        </w:rPr>
      </w:pPr>
      <w:r w:rsidRPr="004604C7">
        <w:rPr>
          <w:rFonts w:ascii="Arial" w:eastAsia="Calibri" w:hAnsi="Arial" w:cs="Arial"/>
          <w:b/>
          <w:bCs/>
          <w:color w:val="92D050"/>
          <w:sz w:val="22"/>
          <w:szCs w:val="22"/>
        </w:rPr>
        <w:t>Exclusion criteria</w:t>
      </w:r>
    </w:p>
    <w:p w14:paraId="5166CBFE" w14:textId="77777777" w:rsidR="00944AEB" w:rsidRPr="004604C7" w:rsidRDefault="00944AEB" w:rsidP="00C27128">
      <w:pPr>
        <w:pStyle w:val="ListParagraph"/>
        <w:spacing w:after="0" w:line="276" w:lineRule="auto"/>
        <w:ind w:left="0"/>
        <w:jc w:val="both"/>
        <w:rPr>
          <w:rFonts w:ascii="Arial" w:hAnsi="Arial" w:cs="Arial"/>
        </w:rPr>
      </w:pPr>
      <w:r w:rsidRPr="004604C7">
        <w:rPr>
          <w:rFonts w:ascii="Arial" w:hAnsi="Arial" w:cs="Arial"/>
        </w:rPr>
        <w:t xml:space="preserve">Candidates or tenderers shall be excluded from participation in this procurement procedure if: </w:t>
      </w:r>
    </w:p>
    <w:p w14:paraId="6FACAC42" w14:textId="77777777" w:rsidR="00944AEB" w:rsidRPr="004604C7" w:rsidRDefault="00944AEB" w:rsidP="00C27128">
      <w:pPr>
        <w:pStyle w:val="ListParagraph"/>
        <w:numPr>
          <w:ilvl w:val="0"/>
          <w:numId w:val="49"/>
        </w:numPr>
        <w:spacing w:after="0" w:line="276" w:lineRule="auto"/>
        <w:jc w:val="both"/>
        <w:rPr>
          <w:rFonts w:ascii="Arial" w:hAnsi="Arial" w:cs="Arial"/>
        </w:rPr>
      </w:pPr>
      <w:r w:rsidRPr="004604C7">
        <w:rPr>
          <w:rFonts w:ascii="Arial" w:hAnsi="Arial" w:cs="Arial"/>
        </w:rPr>
        <w:t xml:space="preserve">they are bankrupt or being wound up, are having their affairs administered by the courts, have entered an arrangement with creditors, have suspended business activities, are the subject of proceedings concerning those matters, or are in any analogous situation arising from a similar procedure provided for in national legislation or regulations. </w:t>
      </w:r>
    </w:p>
    <w:p w14:paraId="4E5949C6" w14:textId="77777777" w:rsidR="00944AEB" w:rsidRPr="004604C7" w:rsidRDefault="00944AEB" w:rsidP="00C27128">
      <w:pPr>
        <w:pStyle w:val="ListParagraph"/>
        <w:numPr>
          <w:ilvl w:val="0"/>
          <w:numId w:val="49"/>
        </w:numPr>
        <w:spacing w:after="0" w:line="276" w:lineRule="auto"/>
        <w:jc w:val="both"/>
        <w:rPr>
          <w:rFonts w:ascii="Arial" w:hAnsi="Arial" w:cs="Arial"/>
        </w:rPr>
      </w:pPr>
      <w:r w:rsidRPr="004604C7">
        <w:rPr>
          <w:rFonts w:ascii="Arial" w:hAnsi="Arial" w:cs="Arial"/>
        </w:rPr>
        <w:t xml:space="preserve">they have been convicted of an offence concerning their professional conduct by a judgment which has the force of res judicata. </w:t>
      </w:r>
    </w:p>
    <w:p w14:paraId="52701D0D" w14:textId="77777777" w:rsidR="00944AEB" w:rsidRPr="004604C7" w:rsidRDefault="00944AEB" w:rsidP="00C27128">
      <w:pPr>
        <w:pStyle w:val="ListParagraph"/>
        <w:numPr>
          <w:ilvl w:val="0"/>
          <w:numId w:val="49"/>
        </w:numPr>
        <w:spacing w:after="0" w:line="276" w:lineRule="auto"/>
        <w:jc w:val="both"/>
        <w:rPr>
          <w:rFonts w:ascii="Arial" w:hAnsi="Arial" w:cs="Arial"/>
        </w:rPr>
      </w:pPr>
      <w:r w:rsidRPr="004604C7">
        <w:rPr>
          <w:rFonts w:ascii="Arial" w:hAnsi="Arial" w:cs="Arial"/>
        </w:rPr>
        <w:t xml:space="preserve">they have been guilty of grave professional misconduct proven by any means which SHA can justify. </w:t>
      </w:r>
    </w:p>
    <w:p w14:paraId="321759AF" w14:textId="77777777" w:rsidR="00944AEB" w:rsidRPr="004604C7" w:rsidRDefault="00944AEB" w:rsidP="00C27128">
      <w:pPr>
        <w:pStyle w:val="ListParagraph"/>
        <w:numPr>
          <w:ilvl w:val="0"/>
          <w:numId w:val="49"/>
        </w:numPr>
        <w:spacing w:after="0" w:line="276" w:lineRule="auto"/>
        <w:jc w:val="both"/>
        <w:rPr>
          <w:rFonts w:ascii="Arial" w:hAnsi="Arial" w:cs="Arial"/>
        </w:rPr>
      </w:pPr>
      <w:r w:rsidRPr="004604C7">
        <w:rPr>
          <w:rFonts w:ascii="Arial" w:hAnsi="Arial" w:cs="Arial"/>
        </w:rPr>
        <w:t xml:space="preserve">they have not fulfilled obligations relating to the payment of social security contributions or the payment of taxes in accordance with the legal provisions of the country in which they are established or with those of the country of SHA or those of the country where the contract is to be performed. </w:t>
      </w:r>
    </w:p>
    <w:p w14:paraId="44D85FDF" w14:textId="77777777" w:rsidR="00944AEB" w:rsidRPr="004604C7" w:rsidRDefault="00944AEB" w:rsidP="00C27128">
      <w:pPr>
        <w:pStyle w:val="ListParagraph"/>
        <w:numPr>
          <w:ilvl w:val="0"/>
          <w:numId w:val="49"/>
        </w:numPr>
        <w:spacing w:after="0" w:line="276" w:lineRule="auto"/>
        <w:jc w:val="both"/>
        <w:rPr>
          <w:rFonts w:ascii="Arial" w:hAnsi="Arial" w:cs="Arial"/>
        </w:rPr>
      </w:pPr>
      <w:r w:rsidRPr="004604C7">
        <w:rPr>
          <w:rFonts w:ascii="Arial" w:hAnsi="Arial" w:cs="Arial"/>
        </w:rPr>
        <w:t xml:space="preserve">they have been the subject of a judgment which has the force of res judicata for fraud, corruption, involvement in a criminal organisation or any other illegal activity detrimental to the Union’s financial interests. </w:t>
      </w:r>
    </w:p>
    <w:p w14:paraId="3BE2CAEC" w14:textId="77777777" w:rsidR="00944AEB" w:rsidRPr="004604C7" w:rsidRDefault="00944AEB" w:rsidP="00C27128">
      <w:pPr>
        <w:pStyle w:val="ListParagraph"/>
        <w:numPr>
          <w:ilvl w:val="0"/>
          <w:numId w:val="49"/>
        </w:numPr>
        <w:spacing w:after="0" w:line="276" w:lineRule="auto"/>
        <w:jc w:val="both"/>
        <w:rPr>
          <w:rFonts w:ascii="Arial" w:hAnsi="Arial" w:cs="Arial"/>
        </w:rPr>
      </w:pPr>
      <w:r w:rsidRPr="004604C7">
        <w:rPr>
          <w:rFonts w:ascii="Arial" w:hAnsi="Arial" w:cs="Arial"/>
        </w:rPr>
        <w:t>following another procurement procedure or grant award procedure financed by the Union’s budget, they have been declared to be in serious breach of contract for failure to comply with their contractual obligations</w:t>
      </w:r>
    </w:p>
    <w:p w14:paraId="068FA292" w14:textId="77777777" w:rsidR="00944AEB" w:rsidRPr="004604C7" w:rsidRDefault="00944AEB" w:rsidP="00C27128">
      <w:pPr>
        <w:spacing w:line="276" w:lineRule="auto"/>
        <w:jc w:val="both"/>
        <w:rPr>
          <w:rFonts w:ascii="Arial" w:hAnsi="Arial" w:cs="Arial"/>
          <w:color w:val="000000"/>
          <w:sz w:val="22"/>
          <w:szCs w:val="22"/>
        </w:rPr>
      </w:pPr>
    </w:p>
    <w:p w14:paraId="70567E4A" w14:textId="77777777" w:rsidR="00D02074" w:rsidRDefault="00944AEB" w:rsidP="00C27128">
      <w:pPr>
        <w:spacing w:line="276" w:lineRule="auto"/>
        <w:jc w:val="both"/>
        <w:rPr>
          <w:rFonts w:ascii="Arial" w:hAnsi="Arial" w:cs="Arial"/>
          <w:color w:val="000000"/>
          <w:sz w:val="22"/>
          <w:szCs w:val="22"/>
        </w:rPr>
      </w:pPr>
      <w:r w:rsidRPr="004604C7">
        <w:rPr>
          <w:rFonts w:ascii="Arial" w:hAnsi="Arial" w:cs="Arial"/>
          <w:color w:val="000000"/>
          <w:sz w:val="22"/>
          <w:szCs w:val="22"/>
        </w:rPr>
        <w:t xml:space="preserve">Self Help Africa is completely against fraud, bribery, and corruption.  Self Help Africa does not ask for money for bids. If approached for money or other favours, or if you have any suspicions of attempted fraud, bribery or corruption please report this immediately by email to </w:t>
      </w:r>
      <w:hyperlink r:id="rId8" w:history="1">
        <w:r w:rsidRPr="004604C7">
          <w:rPr>
            <w:rStyle w:val="Hyperlink"/>
            <w:rFonts w:ascii="Arial" w:hAnsi="Arial" w:cs="Arial"/>
            <w:b/>
            <w:bCs/>
            <w:color w:val="92D050"/>
            <w:sz w:val="22"/>
            <w:szCs w:val="22"/>
          </w:rPr>
          <w:t>confidential.reporting@selfhelpafrica.org</w:t>
        </w:r>
      </w:hyperlink>
      <w:r w:rsidRPr="004604C7">
        <w:rPr>
          <w:rStyle w:val="Hyperlink"/>
          <w:rFonts w:ascii="Arial" w:hAnsi="Arial" w:cs="Arial"/>
          <w:b/>
          <w:bCs/>
          <w:color w:val="92D050"/>
          <w:sz w:val="22"/>
          <w:szCs w:val="22"/>
        </w:rPr>
        <w:t>.</w:t>
      </w:r>
      <w:r w:rsidRPr="004604C7">
        <w:rPr>
          <w:rFonts w:ascii="Arial" w:hAnsi="Arial" w:cs="Arial"/>
          <w:b/>
          <w:bCs/>
          <w:color w:val="92D050"/>
          <w:sz w:val="22"/>
          <w:szCs w:val="22"/>
        </w:rPr>
        <w:t xml:space="preserve"> </w:t>
      </w:r>
      <w:r w:rsidRPr="004604C7">
        <w:rPr>
          <w:rFonts w:ascii="Arial" w:hAnsi="Arial" w:cs="Arial"/>
          <w:color w:val="000000"/>
          <w:sz w:val="22"/>
          <w:szCs w:val="22"/>
        </w:rPr>
        <w:t>Please provide as much detail as possible with any reports.</w:t>
      </w:r>
    </w:p>
    <w:p w14:paraId="12C8592E" w14:textId="77777777" w:rsidR="00D02074" w:rsidRDefault="00D02074" w:rsidP="00C27128">
      <w:pPr>
        <w:spacing w:line="276" w:lineRule="auto"/>
        <w:jc w:val="both"/>
        <w:rPr>
          <w:rFonts w:ascii="Arial" w:hAnsi="Arial" w:cs="Arial"/>
          <w:color w:val="000000"/>
          <w:sz w:val="22"/>
          <w:szCs w:val="22"/>
        </w:rPr>
      </w:pPr>
    </w:p>
    <w:p w14:paraId="2AE4ABCE" w14:textId="77777777" w:rsidR="00944AEB" w:rsidRPr="004604C7" w:rsidRDefault="00944AEB" w:rsidP="00C27128">
      <w:pPr>
        <w:pStyle w:val="Heading1"/>
        <w:spacing w:line="276" w:lineRule="auto"/>
        <w:jc w:val="both"/>
        <w:rPr>
          <w:rFonts w:ascii="Arial" w:eastAsia="Calibri" w:hAnsi="Arial" w:cs="Arial"/>
          <w:color w:val="92D050"/>
        </w:rPr>
      </w:pPr>
      <w:r w:rsidRPr="004604C7">
        <w:rPr>
          <w:rFonts w:ascii="Arial" w:eastAsia="Calibri" w:hAnsi="Arial" w:cs="Arial"/>
          <w:color w:val="92D050"/>
        </w:rPr>
        <w:t xml:space="preserve">PRESENTATION OF PROPOSALS AND SELECTION CRITERIA </w:t>
      </w:r>
    </w:p>
    <w:p w14:paraId="219FC8FE" w14:textId="77777777" w:rsidR="00944AEB" w:rsidRPr="004604C7" w:rsidRDefault="00944AEB" w:rsidP="00C27128">
      <w:pPr>
        <w:spacing w:line="276" w:lineRule="auto"/>
        <w:contextualSpacing/>
        <w:jc w:val="both"/>
        <w:rPr>
          <w:rFonts w:ascii="Arial" w:hAnsi="Arial" w:cs="Arial"/>
          <w:sz w:val="22"/>
          <w:szCs w:val="22"/>
        </w:rPr>
      </w:pPr>
      <w:r w:rsidRPr="004604C7">
        <w:rPr>
          <w:rFonts w:ascii="Arial" w:hAnsi="Arial" w:cs="Arial"/>
          <w:sz w:val="22"/>
          <w:szCs w:val="22"/>
        </w:rPr>
        <w:t>The Consultant is therefore required to respond to the ToR with:</w:t>
      </w:r>
    </w:p>
    <w:p w14:paraId="09EE72DF" w14:textId="77777777" w:rsidR="00944AEB" w:rsidRPr="004604C7" w:rsidRDefault="00944AEB" w:rsidP="00C27128">
      <w:pPr>
        <w:numPr>
          <w:ilvl w:val="0"/>
          <w:numId w:val="39"/>
        </w:numPr>
        <w:spacing w:line="276" w:lineRule="auto"/>
        <w:ind w:left="405"/>
        <w:contextualSpacing/>
        <w:jc w:val="both"/>
        <w:rPr>
          <w:rFonts w:ascii="Arial" w:hAnsi="Arial" w:cs="Arial"/>
          <w:sz w:val="22"/>
          <w:szCs w:val="22"/>
        </w:rPr>
      </w:pPr>
      <w:r w:rsidRPr="004604C7">
        <w:rPr>
          <w:rFonts w:ascii="Arial" w:hAnsi="Arial" w:cs="Arial"/>
          <w:sz w:val="22"/>
          <w:szCs w:val="22"/>
        </w:rPr>
        <w:t>Both technical and financial proposal not more than 8 (eight) pages detailing how the consultant will carry out the activity</w:t>
      </w:r>
      <w:r w:rsidR="00F61029" w:rsidRPr="004604C7">
        <w:rPr>
          <w:rFonts w:ascii="Arial" w:hAnsi="Arial" w:cs="Arial"/>
          <w:sz w:val="22"/>
          <w:szCs w:val="22"/>
        </w:rPr>
        <w:t>.</w:t>
      </w:r>
      <w:r w:rsidRPr="004604C7">
        <w:rPr>
          <w:rFonts w:ascii="Arial" w:hAnsi="Arial" w:cs="Arial"/>
          <w:sz w:val="22"/>
          <w:szCs w:val="22"/>
        </w:rPr>
        <w:t xml:space="preserve"> </w:t>
      </w:r>
    </w:p>
    <w:p w14:paraId="1BB98A23" w14:textId="56841B68" w:rsidR="00944AEB" w:rsidRPr="004604C7" w:rsidRDefault="00944AEB" w:rsidP="00C27128">
      <w:pPr>
        <w:numPr>
          <w:ilvl w:val="0"/>
          <w:numId w:val="39"/>
        </w:numPr>
        <w:spacing w:line="276" w:lineRule="auto"/>
        <w:ind w:left="405"/>
        <w:contextualSpacing/>
        <w:jc w:val="both"/>
        <w:rPr>
          <w:rFonts w:ascii="Arial" w:hAnsi="Arial" w:cs="Arial"/>
          <w:sz w:val="22"/>
          <w:szCs w:val="22"/>
        </w:rPr>
      </w:pPr>
      <w:r w:rsidRPr="004604C7">
        <w:rPr>
          <w:rFonts w:ascii="Arial" w:hAnsi="Arial" w:cs="Arial"/>
          <w:sz w:val="22"/>
          <w:szCs w:val="22"/>
        </w:rPr>
        <w:t xml:space="preserve">The </w:t>
      </w:r>
      <w:r w:rsidR="00C248C7">
        <w:rPr>
          <w:rFonts w:ascii="Arial" w:hAnsi="Arial" w:cs="Arial"/>
          <w:sz w:val="22"/>
          <w:szCs w:val="22"/>
        </w:rPr>
        <w:t>C</w:t>
      </w:r>
      <w:r w:rsidRPr="004604C7">
        <w:rPr>
          <w:rFonts w:ascii="Arial" w:hAnsi="Arial" w:cs="Arial"/>
          <w:sz w:val="22"/>
          <w:szCs w:val="22"/>
        </w:rPr>
        <w:t xml:space="preserve">onsultant will quote his/her daily professional fees taking into consideration the applicable tax implications. The </w:t>
      </w:r>
      <w:r w:rsidR="00BB4F9A">
        <w:rPr>
          <w:rFonts w:ascii="Arial" w:hAnsi="Arial" w:cs="Arial"/>
          <w:sz w:val="22"/>
          <w:szCs w:val="22"/>
        </w:rPr>
        <w:t>C</w:t>
      </w:r>
      <w:r w:rsidRPr="004604C7">
        <w:rPr>
          <w:rFonts w:ascii="Arial" w:hAnsi="Arial" w:cs="Arial"/>
          <w:sz w:val="22"/>
          <w:szCs w:val="22"/>
        </w:rPr>
        <w:t xml:space="preserve">onsultant will be responsible for their own tax affairs. The schedule of the activities should also be outlined in the technical proposal. </w:t>
      </w:r>
    </w:p>
    <w:p w14:paraId="37F5323D" w14:textId="1005F469" w:rsidR="00944AEB" w:rsidRPr="004604C7" w:rsidRDefault="00944AEB" w:rsidP="00C27128">
      <w:pPr>
        <w:numPr>
          <w:ilvl w:val="0"/>
          <w:numId w:val="39"/>
        </w:numPr>
        <w:spacing w:line="276" w:lineRule="auto"/>
        <w:ind w:left="405"/>
        <w:contextualSpacing/>
        <w:jc w:val="both"/>
        <w:rPr>
          <w:rFonts w:ascii="Arial" w:hAnsi="Arial" w:cs="Arial"/>
          <w:sz w:val="22"/>
          <w:szCs w:val="22"/>
        </w:rPr>
      </w:pPr>
      <w:r w:rsidRPr="004604C7">
        <w:rPr>
          <w:rFonts w:ascii="Arial" w:hAnsi="Arial" w:cs="Arial"/>
          <w:sz w:val="22"/>
          <w:szCs w:val="22"/>
        </w:rPr>
        <w:t xml:space="preserve">The </w:t>
      </w:r>
      <w:r w:rsidR="00C248C7">
        <w:rPr>
          <w:rFonts w:ascii="Arial" w:hAnsi="Arial" w:cs="Arial"/>
          <w:sz w:val="22"/>
          <w:szCs w:val="22"/>
        </w:rPr>
        <w:t>C</w:t>
      </w:r>
      <w:r w:rsidRPr="004604C7">
        <w:rPr>
          <w:rFonts w:ascii="Arial" w:hAnsi="Arial" w:cs="Arial"/>
          <w:sz w:val="22"/>
          <w:szCs w:val="22"/>
        </w:rPr>
        <w:t xml:space="preserve">onsultant should attach examples of relevant assignments in the specified field, </w:t>
      </w:r>
      <w:r w:rsidRPr="004604C7">
        <w:rPr>
          <w:rFonts w:ascii="Arial" w:hAnsi="Arial" w:cs="Arial"/>
          <w:color w:val="000000"/>
          <w:sz w:val="22"/>
          <w:szCs w:val="22"/>
        </w:rPr>
        <w:t>especially related to any reviews completed / contracts with international non-governmental organizations.</w:t>
      </w:r>
      <w:r w:rsidRPr="004604C7">
        <w:rPr>
          <w:rFonts w:ascii="Arial" w:hAnsi="Arial" w:cs="Arial"/>
          <w:sz w:val="22"/>
          <w:szCs w:val="22"/>
        </w:rPr>
        <w:t xml:space="preserve">  </w:t>
      </w:r>
    </w:p>
    <w:p w14:paraId="77047280" w14:textId="3A167DEF" w:rsidR="00944AEB" w:rsidRPr="004604C7" w:rsidRDefault="00944AEB" w:rsidP="00D02074">
      <w:pPr>
        <w:spacing w:line="276" w:lineRule="auto"/>
        <w:ind w:left="45"/>
        <w:contextualSpacing/>
        <w:jc w:val="both"/>
        <w:rPr>
          <w:rFonts w:ascii="Arial" w:hAnsi="Arial" w:cs="Arial"/>
          <w:sz w:val="22"/>
          <w:szCs w:val="22"/>
        </w:rPr>
      </w:pPr>
      <w:r w:rsidRPr="004604C7">
        <w:rPr>
          <w:rFonts w:ascii="Arial" w:hAnsi="Arial" w:cs="Arial"/>
          <w:sz w:val="22"/>
          <w:szCs w:val="22"/>
        </w:rPr>
        <w:t>The analysis of the technical and financial proposal will incorporate a quality-cost analysis using the criteria below</w:t>
      </w:r>
      <w:r w:rsidR="00D02074">
        <w:rPr>
          <w:rFonts w:ascii="Arial" w:hAnsi="Arial" w:cs="Arial"/>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0"/>
        <w:gridCol w:w="1501"/>
      </w:tblGrid>
      <w:tr w:rsidR="00944AEB" w:rsidRPr="004604C7" w14:paraId="38934FB9" w14:textId="77777777" w:rsidTr="00D02074">
        <w:tc>
          <w:tcPr>
            <w:tcW w:w="4167" w:type="pct"/>
            <w:shd w:val="clear" w:color="auto" w:fill="92D050"/>
          </w:tcPr>
          <w:p w14:paraId="00A989DF" w14:textId="77777777" w:rsidR="00944AEB" w:rsidRPr="004604C7" w:rsidRDefault="00944AEB" w:rsidP="00C27128">
            <w:pPr>
              <w:spacing w:line="276" w:lineRule="auto"/>
              <w:ind w:left="405"/>
              <w:jc w:val="both"/>
              <w:rPr>
                <w:rFonts w:ascii="Arial" w:hAnsi="Arial" w:cs="Arial"/>
                <w:b/>
                <w:bCs/>
                <w:sz w:val="22"/>
                <w:szCs w:val="22"/>
              </w:rPr>
            </w:pPr>
            <w:r w:rsidRPr="004604C7">
              <w:rPr>
                <w:rFonts w:ascii="Arial" w:hAnsi="Arial" w:cs="Arial"/>
                <w:b/>
                <w:bCs/>
                <w:sz w:val="22"/>
                <w:szCs w:val="22"/>
              </w:rPr>
              <w:t>Criteria</w:t>
            </w:r>
          </w:p>
        </w:tc>
        <w:tc>
          <w:tcPr>
            <w:tcW w:w="833" w:type="pct"/>
            <w:shd w:val="clear" w:color="auto" w:fill="92D050"/>
            <w:vAlign w:val="center"/>
          </w:tcPr>
          <w:p w14:paraId="031ADCBF" w14:textId="77777777" w:rsidR="00944AEB" w:rsidRPr="004604C7" w:rsidRDefault="00944AEB" w:rsidP="00D02074">
            <w:pPr>
              <w:spacing w:line="276" w:lineRule="auto"/>
              <w:jc w:val="center"/>
              <w:rPr>
                <w:rFonts w:ascii="Arial" w:hAnsi="Arial" w:cs="Arial"/>
                <w:b/>
                <w:bCs/>
                <w:sz w:val="22"/>
                <w:szCs w:val="22"/>
              </w:rPr>
            </w:pPr>
            <w:r w:rsidRPr="004604C7">
              <w:rPr>
                <w:rFonts w:ascii="Arial" w:hAnsi="Arial" w:cs="Arial"/>
                <w:b/>
                <w:bCs/>
                <w:sz w:val="22"/>
                <w:szCs w:val="22"/>
              </w:rPr>
              <w:t>Weighting</w:t>
            </w:r>
          </w:p>
        </w:tc>
      </w:tr>
      <w:tr w:rsidR="00944AEB" w:rsidRPr="004604C7" w14:paraId="282B1165" w14:textId="77777777" w:rsidTr="00D02074">
        <w:tc>
          <w:tcPr>
            <w:tcW w:w="4167" w:type="pct"/>
          </w:tcPr>
          <w:p w14:paraId="0666445D" w14:textId="77777777" w:rsidR="00944AEB" w:rsidRPr="004604C7" w:rsidRDefault="00944AEB" w:rsidP="00C27128">
            <w:pPr>
              <w:pStyle w:val="ListParagraph"/>
              <w:numPr>
                <w:ilvl w:val="0"/>
                <w:numId w:val="44"/>
              </w:numPr>
              <w:spacing w:after="0" w:line="276" w:lineRule="auto"/>
              <w:jc w:val="both"/>
              <w:rPr>
                <w:rFonts w:ascii="Arial" w:eastAsia="Times New Roman" w:hAnsi="Arial" w:cs="Arial"/>
              </w:rPr>
            </w:pPr>
            <w:r w:rsidRPr="004604C7">
              <w:rPr>
                <w:rFonts w:ascii="Arial" w:eastAsia="Times New Roman" w:hAnsi="Arial" w:cs="Arial"/>
              </w:rPr>
              <w:t>Understanding of the TOR, proposed methodology and planning of assignment</w:t>
            </w:r>
          </w:p>
        </w:tc>
        <w:tc>
          <w:tcPr>
            <w:tcW w:w="833" w:type="pct"/>
            <w:vAlign w:val="center"/>
          </w:tcPr>
          <w:p w14:paraId="1C5947FA" w14:textId="77777777" w:rsidR="00944AEB" w:rsidRPr="004604C7" w:rsidRDefault="00944AEB" w:rsidP="00D02074">
            <w:pPr>
              <w:spacing w:line="276" w:lineRule="auto"/>
              <w:jc w:val="center"/>
              <w:rPr>
                <w:rFonts w:ascii="Arial" w:hAnsi="Arial" w:cs="Arial"/>
                <w:sz w:val="22"/>
                <w:szCs w:val="22"/>
              </w:rPr>
            </w:pPr>
            <w:r w:rsidRPr="004604C7">
              <w:rPr>
                <w:rFonts w:ascii="Arial" w:hAnsi="Arial" w:cs="Arial"/>
                <w:sz w:val="22"/>
                <w:szCs w:val="22"/>
              </w:rPr>
              <w:t>25%</w:t>
            </w:r>
          </w:p>
        </w:tc>
      </w:tr>
      <w:tr w:rsidR="00944AEB" w:rsidRPr="004604C7" w14:paraId="4114E21F" w14:textId="77777777" w:rsidTr="00D02074">
        <w:tc>
          <w:tcPr>
            <w:tcW w:w="4167" w:type="pct"/>
          </w:tcPr>
          <w:p w14:paraId="174725C9" w14:textId="77777777" w:rsidR="00944AEB" w:rsidRPr="004604C7" w:rsidRDefault="00944AEB" w:rsidP="00C27128">
            <w:pPr>
              <w:pStyle w:val="ListParagraph"/>
              <w:numPr>
                <w:ilvl w:val="0"/>
                <w:numId w:val="44"/>
              </w:numPr>
              <w:spacing w:after="0" w:line="276" w:lineRule="auto"/>
              <w:jc w:val="both"/>
              <w:rPr>
                <w:rFonts w:ascii="Arial" w:eastAsia="Times New Roman" w:hAnsi="Arial" w:cs="Arial"/>
              </w:rPr>
            </w:pPr>
            <w:r w:rsidRPr="004604C7">
              <w:rPr>
                <w:rFonts w:ascii="Arial" w:eastAsia="Times New Roman" w:hAnsi="Arial" w:cs="Arial"/>
              </w:rPr>
              <w:t>Track record in conducting similar scale reviews of private sector development programmes funded by donors and international agencies like the EU, IFC, FCDO, USAID, UN etc.</w:t>
            </w:r>
          </w:p>
        </w:tc>
        <w:tc>
          <w:tcPr>
            <w:tcW w:w="833" w:type="pct"/>
            <w:vAlign w:val="center"/>
          </w:tcPr>
          <w:p w14:paraId="1F815E8C" w14:textId="77777777" w:rsidR="00944AEB" w:rsidRPr="004604C7" w:rsidRDefault="00944AEB" w:rsidP="00D02074">
            <w:pPr>
              <w:spacing w:line="276" w:lineRule="auto"/>
              <w:jc w:val="center"/>
              <w:rPr>
                <w:rFonts w:ascii="Arial" w:hAnsi="Arial" w:cs="Arial"/>
                <w:sz w:val="22"/>
                <w:szCs w:val="22"/>
              </w:rPr>
            </w:pPr>
            <w:r w:rsidRPr="004604C7">
              <w:rPr>
                <w:rFonts w:ascii="Arial" w:hAnsi="Arial" w:cs="Arial"/>
                <w:sz w:val="22"/>
                <w:szCs w:val="22"/>
              </w:rPr>
              <w:t>25%</w:t>
            </w:r>
          </w:p>
        </w:tc>
      </w:tr>
      <w:tr w:rsidR="00944AEB" w:rsidRPr="004604C7" w14:paraId="4B343697" w14:textId="77777777" w:rsidTr="00D02074">
        <w:tc>
          <w:tcPr>
            <w:tcW w:w="4167" w:type="pct"/>
          </w:tcPr>
          <w:p w14:paraId="5933A11E" w14:textId="77777777" w:rsidR="00944AEB" w:rsidRPr="004604C7" w:rsidRDefault="00944AEB" w:rsidP="00C27128">
            <w:pPr>
              <w:pStyle w:val="ListParagraph"/>
              <w:numPr>
                <w:ilvl w:val="0"/>
                <w:numId w:val="44"/>
              </w:numPr>
              <w:spacing w:after="0" w:line="276" w:lineRule="auto"/>
              <w:jc w:val="both"/>
              <w:rPr>
                <w:rFonts w:ascii="Arial" w:eastAsia="Times New Roman" w:hAnsi="Arial" w:cs="Arial"/>
              </w:rPr>
            </w:pPr>
            <w:r w:rsidRPr="004604C7">
              <w:rPr>
                <w:rFonts w:ascii="Arial" w:eastAsia="Times New Roman" w:hAnsi="Arial" w:cs="Arial"/>
              </w:rPr>
              <w:t>Experience and suitability of the team leader and team</w:t>
            </w:r>
          </w:p>
        </w:tc>
        <w:tc>
          <w:tcPr>
            <w:tcW w:w="833" w:type="pct"/>
            <w:vAlign w:val="center"/>
          </w:tcPr>
          <w:p w14:paraId="2CB8DE48" w14:textId="77777777" w:rsidR="00944AEB" w:rsidRPr="004604C7" w:rsidRDefault="00944AEB" w:rsidP="00D02074">
            <w:pPr>
              <w:spacing w:line="276" w:lineRule="auto"/>
              <w:jc w:val="center"/>
              <w:rPr>
                <w:rFonts w:ascii="Arial" w:hAnsi="Arial" w:cs="Arial"/>
                <w:sz w:val="22"/>
                <w:szCs w:val="22"/>
              </w:rPr>
            </w:pPr>
            <w:r w:rsidRPr="004604C7">
              <w:rPr>
                <w:rFonts w:ascii="Arial" w:hAnsi="Arial" w:cs="Arial"/>
                <w:sz w:val="22"/>
                <w:szCs w:val="22"/>
              </w:rPr>
              <w:t>25%</w:t>
            </w:r>
          </w:p>
        </w:tc>
      </w:tr>
      <w:tr w:rsidR="00944AEB" w:rsidRPr="004604C7" w14:paraId="1F8A0A26" w14:textId="77777777" w:rsidTr="00D02074">
        <w:tc>
          <w:tcPr>
            <w:tcW w:w="4167" w:type="pct"/>
          </w:tcPr>
          <w:p w14:paraId="2D1F0ECE" w14:textId="77777777" w:rsidR="00944AEB" w:rsidRPr="004604C7" w:rsidRDefault="00944AEB" w:rsidP="00C27128">
            <w:pPr>
              <w:pStyle w:val="ListParagraph"/>
              <w:numPr>
                <w:ilvl w:val="0"/>
                <w:numId w:val="44"/>
              </w:numPr>
              <w:spacing w:after="0" w:line="276" w:lineRule="auto"/>
              <w:jc w:val="both"/>
              <w:rPr>
                <w:rFonts w:ascii="Arial" w:eastAsia="Times New Roman" w:hAnsi="Arial" w:cs="Arial"/>
              </w:rPr>
            </w:pPr>
            <w:r w:rsidRPr="004604C7">
              <w:rPr>
                <w:rFonts w:ascii="Arial" w:eastAsia="Times New Roman" w:hAnsi="Arial" w:cs="Arial"/>
              </w:rPr>
              <w:t>Cost of the exercise (breakdown)</w:t>
            </w:r>
          </w:p>
          <w:p w14:paraId="1B87C769" w14:textId="77777777" w:rsidR="00944AEB" w:rsidRPr="004604C7" w:rsidRDefault="00944AEB" w:rsidP="00C27128">
            <w:pPr>
              <w:pStyle w:val="ListParagraph"/>
              <w:numPr>
                <w:ilvl w:val="1"/>
                <w:numId w:val="44"/>
              </w:numPr>
              <w:spacing w:after="0" w:line="276" w:lineRule="auto"/>
              <w:jc w:val="both"/>
              <w:rPr>
                <w:rFonts w:ascii="Arial" w:eastAsia="Times New Roman" w:hAnsi="Arial" w:cs="Arial"/>
              </w:rPr>
            </w:pPr>
            <w:r w:rsidRPr="004604C7">
              <w:rPr>
                <w:rFonts w:ascii="Arial" w:eastAsia="Times New Roman" w:hAnsi="Arial" w:cs="Arial"/>
              </w:rPr>
              <w:t>Fee rates proposed for staff</w:t>
            </w:r>
          </w:p>
          <w:p w14:paraId="42F9C110" w14:textId="77777777" w:rsidR="00944AEB" w:rsidRPr="004604C7" w:rsidRDefault="00944AEB" w:rsidP="00C27128">
            <w:pPr>
              <w:pStyle w:val="ListParagraph"/>
              <w:numPr>
                <w:ilvl w:val="1"/>
                <w:numId w:val="44"/>
              </w:numPr>
              <w:spacing w:after="0" w:line="276" w:lineRule="auto"/>
              <w:jc w:val="both"/>
              <w:rPr>
                <w:rFonts w:ascii="Arial" w:eastAsia="Times New Roman" w:hAnsi="Arial" w:cs="Arial"/>
              </w:rPr>
            </w:pPr>
            <w:r w:rsidRPr="004604C7">
              <w:rPr>
                <w:rFonts w:ascii="Arial" w:eastAsia="Times New Roman" w:hAnsi="Arial" w:cs="Arial"/>
              </w:rPr>
              <w:t>Travel and logistics</w:t>
            </w:r>
          </w:p>
          <w:p w14:paraId="02706C51" w14:textId="77777777" w:rsidR="00944AEB" w:rsidRPr="004604C7" w:rsidRDefault="00944AEB" w:rsidP="00C27128">
            <w:pPr>
              <w:pStyle w:val="ListParagraph"/>
              <w:numPr>
                <w:ilvl w:val="1"/>
                <w:numId w:val="44"/>
              </w:numPr>
              <w:spacing w:after="0" w:line="276" w:lineRule="auto"/>
              <w:jc w:val="both"/>
              <w:rPr>
                <w:rFonts w:ascii="Arial" w:eastAsia="Times New Roman" w:hAnsi="Arial" w:cs="Arial"/>
              </w:rPr>
            </w:pPr>
            <w:r w:rsidRPr="004604C7">
              <w:rPr>
                <w:rFonts w:ascii="Arial" w:eastAsia="Times New Roman" w:hAnsi="Arial" w:cs="Arial"/>
              </w:rPr>
              <w:t>Consumables</w:t>
            </w:r>
          </w:p>
        </w:tc>
        <w:tc>
          <w:tcPr>
            <w:tcW w:w="833" w:type="pct"/>
            <w:vAlign w:val="center"/>
          </w:tcPr>
          <w:p w14:paraId="2DF80950" w14:textId="77777777" w:rsidR="00944AEB" w:rsidRPr="004604C7" w:rsidRDefault="00944AEB" w:rsidP="00D02074">
            <w:pPr>
              <w:spacing w:line="276" w:lineRule="auto"/>
              <w:jc w:val="center"/>
              <w:rPr>
                <w:rFonts w:ascii="Arial" w:hAnsi="Arial" w:cs="Arial"/>
                <w:sz w:val="22"/>
                <w:szCs w:val="22"/>
              </w:rPr>
            </w:pPr>
            <w:r w:rsidRPr="004604C7">
              <w:rPr>
                <w:rFonts w:ascii="Arial" w:hAnsi="Arial" w:cs="Arial"/>
                <w:sz w:val="22"/>
                <w:szCs w:val="22"/>
              </w:rPr>
              <w:t>25%</w:t>
            </w:r>
          </w:p>
        </w:tc>
      </w:tr>
      <w:tr w:rsidR="00944AEB" w:rsidRPr="004604C7" w14:paraId="5B4BD315" w14:textId="77777777" w:rsidTr="00D02074">
        <w:trPr>
          <w:trHeight w:val="269"/>
        </w:trPr>
        <w:tc>
          <w:tcPr>
            <w:tcW w:w="4167" w:type="pct"/>
            <w:shd w:val="clear" w:color="auto" w:fill="92D050"/>
          </w:tcPr>
          <w:p w14:paraId="0DB4143F" w14:textId="77777777" w:rsidR="00944AEB" w:rsidRPr="004604C7" w:rsidRDefault="00944AEB" w:rsidP="00C27128">
            <w:pPr>
              <w:spacing w:line="276" w:lineRule="auto"/>
              <w:ind w:left="405"/>
              <w:jc w:val="both"/>
              <w:rPr>
                <w:rFonts w:ascii="Arial" w:hAnsi="Arial" w:cs="Arial"/>
                <w:b/>
                <w:sz w:val="22"/>
                <w:szCs w:val="22"/>
              </w:rPr>
            </w:pPr>
            <w:r w:rsidRPr="004604C7">
              <w:rPr>
                <w:rFonts w:ascii="Arial" w:hAnsi="Arial" w:cs="Arial"/>
                <w:b/>
                <w:sz w:val="22"/>
                <w:szCs w:val="22"/>
              </w:rPr>
              <w:t>Total</w:t>
            </w:r>
          </w:p>
        </w:tc>
        <w:tc>
          <w:tcPr>
            <w:tcW w:w="833" w:type="pct"/>
            <w:shd w:val="clear" w:color="auto" w:fill="92D050"/>
            <w:vAlign w:val="center"/>
          </w:tcPr>
          <w:p w14:paraId="5DDBFB7D" w14:textId="0BE9FE03" w:rsidR="00944AEB" w:rsidRPr="004604C7" w:rsidRDefault="00944AEB" w:rsidP="00D02074">
            <w:pPr>
              <w:spacing w:line="276" w:lineRule="auto"/>
              <w:jc w:val="center"/>
              <w:rPr>
                <w:rFonts w:ascii="Arial" w:hAnsi="Arial" w:cs="Arial"/>
                <w:b/>
                <w:sz w:val="22"/>
                <w:szCs w:val="22"/>
              </w:rPr>
            </w:pPr>
            <w:r w:rsidRPr="004604C7">
              <w:rPr>
                <w:rFonts w:ascii="Arial" w:hAnsi="Arial" w:cs="Arial"/>
                <w:b/>
                <w:sz w:val="22"/>
                <w:szCs w:val="22"/>
              </w:rPr>
              <w:t>100%</w:t>
            </w:r>
          </w:p>
        </w:tc>
      </w:tr>
    </w:tbl>
    <w:p w14:paraId="06EDC352" w14:textId="77777777" w:rsidR="00944AEB" w:rsidRPr="004604C7" w:rsidRDefault="00944AEB" w:rsidP="00C27128">
      <w:pPr>
        <w:spacing w:line="276" w:lineRule="auto"/>
        <w:ind w:left="405"/>
        <w:contextualSpacing/>
        <w:jc w:val="both"/>
        <w:rPr>
          <w:rFonts w:ascii="Arial" w:hAnsi="Arial" w:cs="Arial"/>
          <w:sz w:val="22"/>
          <w:szCs w:val="22"/>
        </w:rPr>
      </w:pPr>
    </w:p>
    <w:p w14:paraId="6A6AC979" w14:textId="77777777" w:rsidR="00944AEB" w:rsidRPr="004604C7" w:rsidRDefault="00944AEB" w:rsidP="00C27128">
      <w:pPr>
        <w:spacing w:line="276" w:lineRule="auto"/>
        <w:ind w:left="45"/>
        <w:contextualSpacing/>
        <w:jc w:val="both"/>
        <w:rPr>
          <w:rFonts w:ascii="Arial" w:hAnsi="Arial" w:cs="Arial"/>
          <w:sz w:val="22"/>
          <w:szCs w:val="22"/>
        </w:rPr>
      </w:pPr>
      <w:r w:rsidRPr="004604C7">
        <w:rPr>
          <w:rFonts w:ascii="Arial" w:hAnsi="Arial" w:cs="Arial"/>
          <w:sz w:val="22"/>
          <w:szCs w:val="22"/>
        </w:rPr>
        <w:t>The chosen Consultant on signing of Contract is expected to also agree to, and sign, copies of SHA Code of Conduct, Child Protection Policy and Terms &amp; Conditions.</w:t>
      </w:r>
    </w:p>
    <w:p w14:paraId="1DC01900" w14:textId="77777777" w:rsidR="00944AEB" w:rsidRPr="004604C7" w:rsidRDefault="00944AEB" w:rsidP="1411EB6C">
      <w:pPr>
        <w:spacing w:line="276" w:lineRule="auto"/>
        <w:ind w:left="405"/>
        <w:contextualSpacing/>
        <w:jc w:val="both"/>
        <w:rPr>
          <w:rFonts w:ascii="Arial" w:hAnsi="Arial" w:cs="Arial"/>
          <w:sz w:val="22"/>
          <w:szCs w:val="22"/>
        </w:rPr>
      </w:pPr>
    </w:p>
    <w:p w14:paraId="6D8BDA02" w14:textId="2ECDD7C3" w:rsidR="00944AEB" w:rsidRDefault="1411EB6C" w:rsidP="1411EB6C">
      <w:pPr>
        <w:spacing w:line="276" w:lineRule="auto"/>
        <w:ind w:left="45"/>
        <w:contextualSpacing/>
        <w:jc w:val="both"/>
        <w:rPr>
          <w:rFonts w:ascii="Arial" w:hAnsi="Arial" w:cs="Arial"/>
          <w:b/>
          <w:bCs/>
          <w:sz w:val="22"/>
          <w:szCs w:val="22"/>
        </w:rPr>
      </w:pPr>
      <w:r w:rsidRPr="1411EB6C">
        <w:rPr>
          <w:rFonts w:ascii="Arial" w:hAnsi="Arial" w:cs="Arial"/>
          <w:sz w:val="22"/>
          <w:szCs w:val="22"/>
        </w:rPr>
        <w:t xml:space="preserve">The technical, financial proposal should be e-mailed to </w:t>
      </w:r>
      <w:r w:rsidRPr="1411EB6C">
        <w:rPr>
          <w:rFonts w:ascii="Arial" w:hAnsi="Arial" w:cs="Arial"/>
          <w:b/>
          <w:bCs/>
          <w:sz w:val="22"/>
          <w:szCs w:val="22"/>
        </w:rPr>
        <w:t xml:space="preserve">GREENTech4CE Help Desk </w:t>
      </w:r>
      <w:hyperlink r:id="rId9">
        <w:r w:rsidRPr="1411EB6C">
          <w:rPr>
            <w:rStyle w:val="Hyperlink"/>
            <w:rFonts w:ascii="Arial" w:hAnsi="Arial" w:cs="Arial"/>
            <w:b/>
            <w:bCs/>
            <w:color w:val="92D050"/>
            <w:sz w:val="22"/>
            <w:szCs w:val="22"/>
          </w:rPr>
          <w:t>helpdesk@greentech4ce.org</w:t>
        </w:r>
      </w:hyperlink>
      <w:r w:rsidRPr="1411EB6C">
        <w:rPr>
          <w:rFonts w:ascii="Arial" w:hAnsi="Arial" w:cs="Arial"/>
          <w:color w:val="92D050"/>
          <w:sz w:val="22"/>
          <w:szCs w:val="22"/>
        </w:rPr>
        <w:t xml:space="preserve"> </w:t>
      </w:r>
      <w:r w:rsidRPr="1411EB6C">
        <w:rPr>
          <w:rFonts w:ascii="Arial" w:hAnsi="Arial" w:cs="Arial"/>
          <w:b/>
          <w:bCs/>
          <w:sz w:val="22"/>
          <w:szCs w:val="22"/>
          <w:lang w:eastAsia="en-GB"/>
        </w:rPr>
        <w:t>by 08:00 on 15</w:t>
      </w:r>
      <w:r w:rsidRPr="1411EB6C">
        <w:rPr>
          <w:rFonts w:ascii="Arial" w:hAnsi="Arial" w:cs="Arial"/>
          <w:b/>
          <w:bCs/>
          <w:sz w:val="22"/>
          <w:szCs w:val="22"/>
          <w:vertAlign w:val="superscript"/>
        </w:rPr>
        <w:t>th</w:t>
      </w:r>
      <w:r w:rsidRPr="1411EB6C">
        <w:rPr>
          <w:rFonts w:ascii="Arial" w:hAnsi="Arial" w:cs="Arial"/>
          <w:b/>
          <w:bCs/>
          <w:sz w:val="22"/>
          <w:szCs w:val="22"/>
        </w:rPr>
        <w:t xml:space="preserve"> May, 2026.</w:t>
      </w:r>
    </w:p>
    <w:p w14:paraId="0C7DEC10" w14:textId="77777777" w:rsidR="00B04B94" w:rsidRDefault="00B04B94" w:rsidP="00C27128">
      <w:pPr>
        <w:spacing w:line="276" w:lineRule="auto"/>
        <w:ind w:left="45"/>
        <w:contextualSpacing/>
        <w:jc w:val="both"/>
        <w:rPr>
          <w:rFonts w:ascii="Arial" w:hAnsi="Arial" w:cs="Arial"/>
          <w:b/>
          <w:sz w:val="22"/>
          <w:szCs w:val="22"/>
        </w:rPr>
        <w:sectPr w:rsidR="00B04B94" w:rsidSect="00470B2E">
          <w:headerReference w:type="default" r:id="rId10"/>
          <w:footerReference w:type="even" r:id="rId11"/>
          <w:footerReference w:type="default" r:id="rId12"/>
          <w:pgSz w:w="11901" w:h="16840"/>
          <w:pgMar w:top="1440" w:right="1440" w:bottom="1440" w:left="1440" w:header="709" w:footer="709" w:gutter="0"/>
          <w:cols w:space="708"/>
          <w:docGrid w:linePitch="360"/>
        </w:sectPr>
      </w:pPr>
    </w:p>
    <w:p w14:paraId="324CFF22" w14:textId="748DF03F" w:rsidR="00ED2F36" w:rsidRPr="004604C7" w:rsidRDefault="00ED2F36" w:rsidP="00C27128">
      <w:pPr>
        <w:spacing w:line="276" w:lineRule="auto"/>
        <w:ind w:left="45"/>
        <w:contextualSpacing/>
        <w:jc w:val="both"/>
        <w:rPr>
          <w:rFonts w:ascii="Arial" w:hAnsi="Arial" w:cs="Arial"/>
          <w:b/>
          <w:color w:val="92D050"/>
          <w:sz w:val="22"/>
          <w:szCs w:val="22"/>
        </w:rPr>
      </w:pPr>
      <w:r w:rsidRPr="004604C7">
        <w:rPr>
          <w:rFonts w:ascii="Arial" w:hAnsi="Arial" w:cs="Arial"/>
          <w:b/>
          <w:color w:val="92D050"/>
          <w:sz w:val="22"/>
          <w:szCs w:val="22"/>
        </w:rPr>
        <w:t>APPENDIX</w:t>
      </w:r>
      <w:r w:rsidR="002D06A0">
        <w:rPr>
          <w:rFonts w:ascii="Arial" w:hAnsi="Arial" w:cs="Arial"/>
          <w:b/>
          <w:color w:val="92D050"/>
          <w:sz w:val="22"/>
          <w:szCs w:val="22"/>
        </w:rPr>
        <w:t>: PROJECT LOGRFRAME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539"/>
        <w:gridCol w:w="3711"/>
        <w:gridCol w:w="1688"/>
        <w:gridCol w:w="1688"/>
        <w:gridCol w:w="1688"/>
        <w:gridCol w:w="3149"/>
      </w:tblGrid>
      <w:tr w:rsidR="00B04B94" w:rsidRPr="00B04B94" w14:paraId="72686F85" w14:textId="77777777" w:rsidTr="00B04B94">
        <w:trPr>
          <w:trHeight w:val="1574"/>
          <w:tblHeader/>
        </w:trPr>
        <w:tc>
          <w:tcPr>
            <w:tcW w:w="487" w:type="dxa"/>
            <w:shd w:val="clear" w:color="auto" w:fill="D9D9D9" w:themeFill="background1" w:themeFillShade="D9"/>
            <w:textDirection w:val="btLr"/>
            <w:vAlign w:val="center"/>
          </w:tcPr>
          <w:p w14:paraId="13E7B6B8" w14:textId="77777777" w:rsidR="00B04B94" w:rsidRPr="00B04B94" w:rsidRDefault="00B04B94" w:rsidP="00C27128">
            <w:pPr>
              <w:spacing w:line="276" w:lineRule="auto"/>
              <w:jc w:val="both"/>
              <w:rPr>
                <w:b/>
                <w:bCs/>
                <w:i/>
                <w:iCs/>
                <w:color w:val="000000" w:themeColor="text1"/>
                <w:sz w:val="20"/>
                <w:szCs w:val="20"/>
                <w:lang w:eastAsia="en-GB"/>
              </w:rPr>
            </w:pPr>
            <w:r w:rsidRPr="00B04B94">
              <w:rPr>
                <w:b/>
                <w:bCs/>
                <w:i/>
                <w:iCs/>
                <w:color w:val="000000" w:themeColor="text1"/>
                <w:sz w:val="20"/>
                <w:szCs w:val="20"/>
                <w:lang w:eastAsia="en-GB"/>
              </w:rPr>
              <w:t>Results</w:t>
            </w:r>
          </w:p>
        </w:tc>
        <w:tc>
          <w:tcPr>
            <w:tcW w:w="1539" w:type="dxa"/>
            <w:shd w:val="clear" w:color="auto" w:fill="D9D9D9" w:themeFill="background1" w:themeFillShade="D9"/>
            <w:vAlign w:val="center"/>
          </w:tcPr>
          <w:p w14:paraId="3B597242" w14:textId="77777777" w:rsidR="00B04B94" w:rsidRPr="00B04B94" w:rsidRDefault="00B04B94" w:rsidP="00C248C7">
            <w:pPr>
              <w:spacing w:line="276" w:lineRule="auto"/>
              <w:rPr>
                <w:color w:val="000000" w:themeColor="text1"/>
                <w:sz w:val="20"/>
                <w:szCs w:val="20"/>
                <w:lang w:eastAsia="en-GB"/>
              </w:rPr>
            </w:pPr>
            <w:r w:rsidRPr="00B04B94">
              <w:rPr>
                <w:b/>
                <w:bCs/>
                <w:i/>
                <w:iCs/>
                <w:color w:val="000000" w:themeColor="text1"/>
                <w:sz w:val="20"/>
                <w:szCs w:val="20"/>
                <w:lang w:eastAsia="en-GB"/>
              </w:rPr>
              <w:t>Results chain</w:t>
            </w:r>
          </w:p>
        </w:tc>
        <w:tc>
          <w:tcPr>
            <w:tcW w:w="3711" w:type="dxa"/>
            <w:shd w:val="clear" w:color="auto" w:fill="D9D9D9" w:themeFill="background1" w:themeFillShade="D9"/>
            <w:vAlign w:val="center"/>
          </w:tcPr>
          <w:p w14:paraId="71811767" w14:textId="77777777" w:rsidR="00B04B94" w:rsidRPr="00B04B94" w:rsidRDefault="00B04B94" w:rsidP="00C248C7">
            <w:pPr>
              <w:spacing w:line="276" w:lineRule="auto"/>
              <w:rPr>
                <w:color w:val="000000" w:themeColor="text1"/>
                <w:sz w:val="20"/>
                <w:szCs w:val="20"/>
                <w:lang w:eastAsia="en-GB"/>
              </w:rPr>
            </w:pPr>
            <w:r w:rsidRPr="00B04B94">
              <w:rPr>
                <w:b/>
                <w:bCs/>
                <w:i/>
                <w:iCs/>
                <w:color w:val="000000" w:themeColor="text1"/>
                <w:sz w:val="20"/>
                <w:szCs w:val="20"/>
                <w:lang w:eastAsia="en-GB"/>
              </w:rPr>
              <w:t>Indicator</w:t>
            </w:r>
          </w:p>
        </w:tc>
        <w:tc>
          <w:tcPr>
            <w:tcW w:w="1688" w:type="dxa"/>
            <w:shd w:val="clear" w:color="auto" w:fill="D9D9D9" w:themeFill="background1" w:themeFillShade="D9"/>
            <w:vAlign w:val="center"/>
          </w:tcPr>
          <w:p w14:paraId="006BCAED" w14:textId="77777777" w:rsidR="00B04B94" w:rsidRPr="00B04B94" w:rsidRDefault="00B04B94" w:rsidP="00C248C7">
            <w:pPr>
              <w:spacing w:line="276" w:lineRule="auto"/>
              <w:rPr>
                <w:b/>
                <w:bCs/>
                <w:i/>
                <w:iCs/>
                <w:color w:val="000000" w:themeColor="text1"/>
                <w:sz w:val="20"/>
                <w:szCs w:val="20"/>
                <w:lang w:eastAsia="en-GB"/>
              </w:rPr>
            </w:pPr>
            <w:r w:rsidRPr="00B04B94">
              <w:rPr>
                <w:b/>
                <w:bCs/>
                <w:i/>
                <w:iCs/>
                <w:color w:val="000000" w:themeColor="text1"/>
                <w:sz w:val="20"/>
                <w:szCs w:val="20"/>
                <w:lang w:eastAsia="en-GB"/>
              </w:rPr>
              <w:t xml:space="preserve">Baseline value </w:t>
            </w:r>
          </w:p>
          <w:p w14:paraId="425486F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2024</w:t>
            </w:r>
          </w:p>
        </w:tc>
        <w:tc>
          <w:tcPr>
            <w:tcW w:w="1688" w:type="dxa"/>
            <w:shd w:val="clear" w:color="auto" w:fill="D9D9D9" w:themeFill="background1" w:themeFillShade="D9"/>
            <w:vAlign w:val="center"/>
          </w:tcPr>
          <w:p w14:paraId="3FCB8E26" w14:textId="77777777" w:rsidR="00B04B94" w:rsidRPr="00B04B94" w:rsidRDefault="00B04B94" w:rsidP="00C248C7">
            <w:pPr>
              <w:spacing w:line="276" w:lineRule="auto"/>
              <w:rPr>
                <w:b/>
                <w:bCs/>
                <w:i/>
                <w:iCs/>
                <w:color w:val="000000" w:themeColor="text1"/>
                <w:sz w:val="20"/>
                <w:szCs w:val="20"/>
                <w:lang w:eastAsia="en-GB"/>
              </w:rPr>
            </w:pPr>
            <w:r w:rsidRPr="00B04B94">
              <w:rPr>
                <w:b/>
                <w:bCs/>
                <w:i/>
                <w:iCs/>
                <w:color w:val="000000" w:themeColor="text1"/>
                <w:sz w:val="20"/>
                <w:szCs w:val="20"/>
                <w:lang w:eastAsia="en-GB"/>
              </w:rPr>
              <w:t>Target</w:t>
            </w:r>
          </w:p>
          <w:p w14:paraId="7F191EDE" w14:textId="77777777" w:rsidR="00B04B94" w:rsidRPr="00B04B94" w:rsidRDefault="00B04B94" w:rsidP="00C248C7">
            <w:pPr>
              <w:spacing w:line="276" w:lineRule="auto"/>
              <w:rPr>
                <w:color w:val="000000" w:themeColor="text1"/>
                <w:sz w:val="20"/>
                <w:szCs w:val="20"/>
                <w:lang w:eastAsia="en-GB"/>
              </w:rPr>
            </w:pPr>
            <w:r w:rsidRPr="00B04B94">
              <w:rPr>
                <w:b/>
                <w:bCs/>
                <w:i/>
                <w:iCs/>
                <w:color w:val="000000" w:themeColor="text1"/>
                <w:sz w:val="20"/>
                <w:szCs w:val="20"/>
                <w:lang w:eastAsia="en-GB"/>
              </w:rPr>
              <w:t>(value &amp; reference year)</w:t>
            </w:r>
          </w:p>
        </w:tc>
        <w:tc>
          <w:tcPr>
            <w:tcW w:w="1688" w:type="dxa"/>
            <w:shd w:val="clear" w:color="auto" w:fill="D9D9D9" w:themeFill="background1" w:themeFillShade="D9"/>
            <w:vAlign w:val="center"/>
          </w:tcPr>
          <w:p w14:paraId="788989A4" w14:textId="77777777" w:rsidR="00B04B94" w:rsidRPr="00B04B94" w:rsidRDefault="00B04B94" w:rsidP="00C248C7">
            <w:pPr>
              <w:spacing w:line="276" w:lineRule="auto"/>
              <w:rPr>
                <w:color w:val="000000" w:themeColor="text1"/>
                <w:sz w:val="20"/>
                <w:szCs w:val="20"/>
                <w:lang w:eastAsia="en-GB"/>
              </w:rPr>
            </w:pPr>
            <w:r w:rsidRPr="00B04B94">
              <w:rPr>
                <w:b/>
                <w:bCs/>
                <w:i/>
                <w:iCs/>
                <w:color w:val="000000" w:themeColor="text1"/>
                <w:sz w:val="20"/>
                <w:szCs w:val="20"/>
                <w:lang w:eastAsia="en-GB"/>
              </w:rPr>
              <w:t>Sources of data</w:t>
            </w:r>
          </w:p>
        </w:tc>
        <w:tc>
          <w:tcPr>
            <w:tcW w:w="3149" w:type="dxa"/>
            <w:shd w:val="clear" w:color="auto" w:fill="D9D9D9" w:themeFill="background1" w:themeFillShade="D9"/>
            <w:vAlign w:val="center"/>
          </w:tcPr>
          <w:p w14:paraId="4F7263B8" w14:textId="77777777" w:rsidR="00B04B94" w:rsidRPr="00B04B94" w:rsidRDefault="00B04B94" w:rsidP="00C248C7">
            <w:pPr>
              <w:spacing w:line="276" w:lineRule="auto"/>
              <w:rPr>
                <w:i/>
                <w:iCs/>
                <w:color w:val="000000" w:themeColor="text1"/>
                <w:sz w:val="20"/>
                <w:szCs w:val="20"/>
                <w:lang w:eastAsia="en-GB"/>
              </w:rPr>
            </w:pPr>
            <w:r w:rsidRPr="00B04B94">
              <w:rPr>
                <w:b/>
                <w:bCs/>
                <w:i/>
                <w:iCs/>
                <w:color w:val="000000" w:themeColor="text1"/>
                <w:sz w:val="20"/>
                <w:szCs w:val="20"/>
                <w:lang w:eastAsia="en-GB"/>
              </w:rPr>
              <w:t>Assumptions</w:t>
            </w:r>
          </w:p>
        </w:tc>
      </w:tr>
      <w:tr w:rsidR="00B04B94" w:rsidRPr="00B04B94" w14:paraId="5AAC3995" w14:textId="77777777" w:rsidTr="00B04B94">
        <w:trPr>
          <w:trHeight w:val="1187"/>
        </w:trPr>
        <w:tc>
          <w:tcPr>
            <w:tcW w:w="487" w:type="dxa"/>
            <w:vMerge w:val="restart"/>
            <w:shd w:val="clear" w:color="auto" w:fill="D9D9D9" w:themeFill="background1" w:themeFillShade="D9"/>
            <w:textDirection w:val="btLr"/>
            <w:vAlign w:val="center"/>
            <w:hideMark/>
          </w:tcPr>
          <w:p w14:paraId="2B8B2DD0" w14:textId="77777777" w:rsidR="00B04B94" w:rsidRPr="00B04B94" w:rsidRDefault="00B04B94" w:rsidP="00C27128">
            <w:pPr>
              <w:spacing w:line="276" w:lineRule="auto"/>
              <w:jc w:val="both"/>
              <w:rPr>
                <w:b/>
                <w:bCs/>
                <w:i/>
                <w:iCs/>
                <w:color w:val="000000" w:themeColor="text1"/>
                <w:sz w:val="20"/>
                <w:szCs w:val="20"/>
                <w:lang w:eastAsia="en-GB"/>
              </w:rPr>
            </w:pPr>
            <w:r w:rsidRPr="00B04B94">
              <w:rPr>
                <w:b/>
                <w:bCs/>
                <w:i/>
                <w:iCs/>
                <w:color w:val="000000" w:themeColor="text1"/>
                <w:sz w:val="20"/>
                <w:szCs w:val="20"/>
                <w:lang w:eastAsia="en-GB"/>
              </w:rPr>
              <w:t>Impact (Overall objective)</w:t>
            </w:r>
          </w:p>
        </w:tc>
        <w:tc>
          <w:tcPr>
            <w:tcW w:w="1539" w:type="dxa"/>
            <w:vMerge w:val="restart"/>
            <w:vAlign w:val="center"/>
            <w:hideMark/>
          </w:tcPr>
          <w:p w14:paraId="15695F0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Accelerate growth in Zambia through creating and sustaining green, circular, and digital economic opportunities for SMEs, women, men, and youths </w:t>
            </w:r>
          </w:p>
        </w:tc>
        <w:tc>
          <w:tcPr>
            <w:tcW w:w="3711" w:type="dxa"/>
            <w:shd w:val="clear" w:color="auto" w:fill="FFFFFF" w:themeFill="background1"/>
            <w:vAlign w:val="center"/>
            <w:hideMark/>
          </w:tcPr>
          <w:p w14:paraId="066E660F"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lang w:eastAsia="en-GB"/>
              </w:rPr>
              <w:t xml:space="preserve">Im In 1. Contribution to GDP of non-traditional target sectors (EUR). </w:t>
            </w:r>
          </w:p>
        </w:tc>
        <w:tc>
          <w:tcPr>
            <w:tcW w:w="1688" w:type="dxa"/>
            <w:tcBorders>
              <w:bottom w:val="single" w:sz="4" w:space="0" w:color="auto"/>
            </w:tcBorders>
            <w:vAlign w:val="center"/>
            <w:hideMark/>
          </w:tcPr>
          <w:p w14:paraId="544E05DF"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rPr>
              <w:t>9,368,772,727</w:t>
            </w:r>
          </w:p>
          <w:p w14:paraId="50440D3C"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rPr>
              <w:t>(2023)</w:t>
            </w:r>
          </w:p>
        </w:tc>
        <w:tc>
          <w:tcPr>
            <w:tcW w:w="1688" w:type="dxa"/>
            <w:tcBorders>
              <w:bottom w:val="single" w:sz="4" w:space="0" w:color="auto"/>
            </w:tcBorders>
            <w:vAlign w:val="center"/>
            <w:hideMark/>
          </w:tcPr>
          <w:p w14:paraId="5DBC8CBD"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tbc</w:t>
            </w:r>
          </w:p>
        </w:tc>
        <w:tc>
          <w:tcPr>
            <w:tcW w:w="1688" w:type="dxa"/>
            <w:vAlign w:val="center"/>
            <w:hideMark/>
          </w:tcPr>
          <w:p w14:paraId="57F9F18A"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rPr>
              <w:t>Zambia Statistics Agency GDP Annual Reports</w:t>
            </w:r>
          </w:p>
        </w:tc>
        <w:tc>
          <w:tcPr>
            <w:tcW w:w="3149" w:type="dxa"/>
            <w:vMerge w:val="restart"/>
            <w:shd w:val="clear" w:color="auto" w:fill="D9D9D9" w:themeFill="background1" w:themeFillShade="D9"/>
            <w:vAlign w:val="center"/>
            <w:hideMark/>
          </w:tcPr>
          <w:p w14:paraId="2AB41C3E" w14:textId="77777777" w:rsidR="00B04B94" w:rsidRPr="00B04B94" w:rsidRDefault="00B04B94" w:rsidP="00C248C7">
            <w:pPr>
              <w:spacing w:line="276" w:lineRule="auto"/>
              <w:rPr>
                <w:i/>
                <w:iCs/>
                <w:color w:val="000000" w:themeColor="text1"/>
                <w:sz w:val="20"/>
                <w:szCs w:val="20"/>
                <w:lang w:eastAsia="en-GB"/>
              </w:rPr>
            </w:pPr>
            <w:r w:rsidRPr="00B04B94">
              <w:rPr>
                <w:i/>
                <w:iCs/>
                <w:color w:val="000000" w:themeColor="text1"/>
                <w:sz w:val="20"/>
                <w:szCs w:val="20"/>
                <w:lang w:eastAsia="en-GB"/>
              </w:rPr>
              <w:t>Not applicable</w:t>
            </w:r>
          </w:p>
        </w:tc>
      </w:tr>
      <w:tr w:rsidR="00B04B94" w:rsidRPr="00B04B94" w14:paraId="3F7DB885" w14:textId="77777777" w:rsidTr="00B04B94">
        <w:trPr>
          <w:trHeight w:val="419"/>
        </w:trPr>
        <w:tc>
          <w:tcPr>
            <w:tcW w:w="487" w:type="dxa"/>
            <w:vMerge/>
            <w:vAlign w:val="center"/>
            <w:hideMark/>
          </w:tcPr>
          <w:p w14:paraId="1C29F8C6"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hideMark/>
          </w:tcPr>
          <w:p w14:paraId="11399023" w14:textId="77777777" w:rsidR="00B04B94" w:rsidRPr="00B04B94" w:rsidRDefault="00B04B94" w:rsidP="00C248C7">
            <w:pPr>
              <w:spacing w:line="276" w:lineRule="auto"/>
              <w:rPr>
                <w:color w:val="000000" w:themeColor="text1"/>
                <w:sz w:val="20"/>
                <w:szCs w:val="20"/>
                <w:lang w:eastAsia="en-GB"/>
              </w:rPr>
            </w:pPr>
          </w:p>
        </w:tc>
        <w:tc>
          <w:tcPr>
            <w:tcW w:w="3711" w:type="dxa"/>
            <w:tcBorders>
              <w:right w:val="single" w:sz="4" w:space="0" w:color="auto"/>
            </w:tcBorders>
            <w:vAlign w:val="center"/>
            <w:hideMark/>
          </w:tcPr>
          <w:p w14:paraId="685B37C6"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Im In 2. # targeted MSMEs demonstrating growth</w:t>
            </w:r>
          </w:p>
          <w:p w14:paraId="0E779574" w14:textId="77777777" w:rsidR="00B04B94" w:rsidRPr="00B04B94" w:rsidRDefault="00B04B94" w:rsidP="00C248C7">
            <w:pPr>
              <w:spacing w:line="276" w:lineRule="auto"/>
              <w:rPr>
                <w:color w:val="000000" w:themeColor="text1"/>
                <w:sz w:val="20"/>
                <w:szCs w:val="20"/>
                <w:lang w:eastAsia="en-GB"/>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1CAD338C"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tcBorders>
              <w:top w:val="single" w:sz="4" w:space="0" w:color="auto"/>
              <w:left w:val="single" w:sz="4" w:space="0" w:color="auto"/>
              <w:bottom w:val="single" w:sz="4" w:space="0" w:color="auto"/>
              <w:right w:val="single" w:sz="4" w:space="0" w:color="auto"/>
            </w:tcBorders>
            <w:vAlign w:val="center"/>
            <w:hideMark/>
          </w:tcPr>
          <w:p w14:paraId="3B9F426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500</w:t>
            </w:r>
          </w:p>
        </w:tc>
        <w:tc>
          <w:tcPr>
            <w:tcW w:w="1688" w:type="dxa"/>
            <w:vMerge w:val="restart"/>
            <w:tcBorders>
              <w:left w:val="single" w:sz="4" w:space="0" w:color="auto"/>
            </w:tcBorders>
            <w:vAlign w:val="center"/>
            <w:hideMark/>
          </w:tcPr>
          <w:p w14:paraId="1D3BE460"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lang w:eastAsia="en-GB"/>
              </w:rPr>
              <w:t>GRZ / ZamStats Surveys</w:t>
            </w:r>
            <w:r w:rsidRPr="00B04B94">
              <w:rPr>
                <w:color w:val="000000" w:themeColor="text1"/>
                <w:sz w:val="20"/>
                <w:szCs w:val="20"/>
              </w:rPr>
              <w:t xml:space="preserve"> </w:t>
            </w:r>
          </w:p>
          <w:p w14:paraId="1DB4F990" w14:textId="77777777" w:rsidR="00B04B94" w:rsidRPr="00B04B94" w:rsidRDefault="00B04B94" w:rsidP="00C248C7">
            <w:pPr>
              <w:spacing w:line="276" w:lineRule="auto"/>
              <w:rPr>
                <w:color w:val="000000" w:themeColor="text1"/>
                <w:sz w:val="20"/>
                <w:szCs w:val="20"/>
              </w:rPr>
            </w:pPr>
          </w:p>
          <w:p w14:paraId="42D6D61D"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rPr>
              <w:t>Project M&amp;E Reports</w:t>
            </w:r>
          </w:p>
        </w:tc>
        <w:tc>
          <w:tcPr>
            <w:tcW w:w="3149" w:type="dxa"/>
            <w:vMerge/>
            <w:vAlign w:val="center"/>
            <w:hideMark/>
          </w:tcPr>
          <w:p w14:paraId="46E0F758" w14:textId="77777777" w:rsidR="00B04B94" w:rsidRPr="00B04B94" w:rsidRDefault="00B04B94" w:rsidP="00C248C7">
            <w:pPr>
              <w:spacing w:line="276" w:lineRule="auto"/>
              <w:rPr>
                <w:i/>
                <w:iCs/>
                <w:color w:val="000000" w:themeColor="text1"/>
                <w:sz w:val="20"/>
                <w:szCs w:val="20"/>
                <w:lang w:eastAsia="en-GB"/>
              </w:rPr>
            </w:pPr>
          </w:p>
        </w:tc>
      </w:tr>
      <w:tr w:rsidR="00B04B94" w:rsidRPr="00B04B94" w14:paraId="0358CBF0" w14:textId="77777777" w:rsidTr="00B04B94">
        <w:trPr>
          <w:trHeight w:val="1133"/>
        </w:trPr>
        <w:tc>
          <w:tcPr>
            <w:tcW w:w="487" w:type="dxa"/>
            <w:vMerge/>
            <w:vAlign w:val="center"/>
          </w:tcPr>
          <w:p w14:paraId="551CA014"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tcPr>
          <w:p w14:paraId="46361055" w14:textId="77777777" w:rsidR="00B04B94" w:rsidRPr="00B04B94" w:rsidRDefault="00B04B94" w:rsidP="00C248C7">
            <w:pPr>
              <w:spacing w:line="276" w:lineRule="auto"/>
              <w:rPr>
                <w:color w:val="000000" w:themeColor="text1"/>
                <w:sz w:val="20"/>
                <w:szCs w:val="20"/>
                <w:lang w:eastAsia="en-GB"/>
              </w:rPr>
            </w:pPr>
          </w:p>
        </w:tc>
        <w:tc>
          <w:tcPr>
            <w:tcW w:w="3711" w:type="dxa"/>
            <w:tcBorders>
              <w:right w:val="single" w:sz="4" w:space="0" w:color="auto"/>
            </w:tcBorders>
            <w:vAlign w:val="center"/>
          </w:tcPr>
          <w:p w14:paraId="231D6A6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Im In 2.1. # MSMEs with an increased annual turnover</w:t>
            </w:r>
          </w:p>
          <w:p w14:paraId="3A874C2E" w14:textId="77777777" w:rsidR="00B04B94" w:rsidRPr="00B04B94" w:rsidRDefault="00B04B94" w:rsidP="00C248C7">
            <w:pPr>
              <w:spacing w:line="276" w:lineRule="auto"/>
              <w:rPr>
                <w:color w:val="000000" w:themeColor="text1"/>
                <w:sz w:val="20"/>
                <w:szCs w:val="20"/>
                <w:lang w:eastAsia="en-GB"/>
              </w:rPr>
            </w:pPr>
          </w:p>
        </w:tc>
        <w:tc>
          <w:tcPr>
            <w:tcW w:w="1688" w:type="dxa"/>
            <w:tcBorders>
              <w:top w:val="single" w:sz="4" w:space="0" w:color="auto"/>
              <w:left w:val="single" w:sz="4" w:space="0" w:color="auto"/>
              <w:bottom w:val="single" w:sz="4" w:space="0" w:color="auto"/>
              <w:right w:val="single" w:sz="4" w:space="0" w:color="auto"/>
            </w:tcBorders>
            <w:vAlign w:val="center"/>
          </w:tcPr>
          <w:p w14:paraId="73824FF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tcBorders>
              <w:top w:val="single" w:sz="4" w:space="0" w:color="auto"/>
              <w:left w:val="single" w:sz="4" w:space="0" w:color="auto"/>
              <w:bottom w:val="single" w:sz="4" w:space="0" w:color="auto"/>
              <w:right w:val="single" w:sz="4" w:space="0" w:color="auto"/>
            </w:tcBorders>
            <w:vAlign w:val="center"/>
          </w:tcPr>
          <w:p w14:paraId="6943572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500</w:t>
            </w:r>
          </w:p>
        </w:tc>
        <w:tc>
          <w:tcPr>
            <w:tcW w:w="1688" w:type="dxa"/>
            <w:vMerge/>
            <w:tcBorders>
              <w:left w:val="single" w:sz="4" w:space="0" w:color="auto"/>
            </w:tcBorders>
            <w:vAlign w:val="center"/>
          </w:tcPr>
          <w:p w14:paraId="5BA8DBA2" w14:textId="77777777" w:rsidR="00B04B94" w:rsidRPr="00B04B94" w:rsidRDefault="00B04B94" w:rsidP="00C248C7">
            <w:pPr>
              <w:spacing w:line="276" w:lineRule="auto"/>
              <w:rPr>
                <w:color w:val="000000" w:themeColor="text1"/>
                <w:sz w:val="20"/>
                <w:szCs w:val="20"/>
              </w:rPr>
            </w:pPr>
          </w:p>
        </w:tc>
        <w:tc>
          <w:tcPr>
            <w:tcW w:w="3149" w:type="dxa"/>
            <w:vMerge/>
            <w:vAlign w:val="center"/>
          </w:tcPr>
          <w:p w14:paraId="77FEC1AC" w14:textId="77777777" w:rsidR="00B04B94" w:rsidRPr="00B04B94" w:rsidRDefault="00B04B94" w:rsidP="00C248C7">
            <w:pPr>
              <w:spacing w:line="276" w:lineRule="auto"/>
              <w:rPr>
                <w:i/>
                <w:iCs/>
                <w:color w:val="000000" w:themeColor="text1"/>
                <w:sz w:val="20"/>
                <w:szCs w:val="20"/>
                <w:lang w:eastAsia="en-GB"/>
              </w:rPr>
            </w:pPr>
          </w:p>
        </w:tc>
      </w:tr>
      <w:tr w:rsidR="00B04B94" w:rsidRPr="00B04B94" w14:paraId="3237CB98" w14:textId="77777777" w:rsidTr="00B04B94">
        <w:tc>
          <w:tcPr>
            <w:tcW w:w="487" w:type="dxa"/>
            <w:vMerge/>
            <w:vAlign w:val="center"/>
          </w:tcPr>
          <w:p w14:paraId="0094719C"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tcPr>
          <w:p w14:paraId="59D722B8" w14:textId="77777777" w:rsidR="00B04B94" w:rsidRPr="00B04B94" w:rsidRDefault="00B04B94" w:rsidP="00C248C7">
            <w:pPr>
              <w:spacing w:line="276" w:lineRule="auto"/>
              <w:rPr>
                <w:color w:val="000000" w:themeColor="text1"/>
                <w:sz w:val="20"/>
                <w:szCs w:val="20"/>
                <w:lang w:eastAsia="en-GB"/>
              </w:rPr>
            </w:pPr>
          </w:p>
        </w:tc>
        <w:tc>
          <w:tcPr>
            <w:tcW w:w="3711" w:type="dxa"/>
            <w:tcBorders>
              <w:right w:val="single" w:sz="4" w:space="0" w:color="auto"/>
            </w:tcBorders>
            <w:vAlign w:val="center"/>
          </w:tcPr>
          <w:p w14:paraId="2D5BDDC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Im In 2.2. # FTE decent jobs sustained (disaggregated by gender, age and green / circular  / digital economy)</w:t>
            </w:r>
          </w:p>
        </w:tc>
        <w:tc>
          <w:tcPr>
            <w:tcW w:w="1688" w:type="dxa"/>
            <w:tcBorders>
              <w:top w:val="single" w:sz="4" w:space="0" w:color="auto"/>
              <w:left w:val="single" w:sz="4" w:space="0" w:color="auto"/>
              <w:bottom w:val="single" w:sz="4" w:space="0" w:color="auto"/>
              <w:right w:val="single" w:sz="4" w:space="0" w:color="auto"/>
            </w:tcBorders>
            <w:vAlign w:val="center"/>
          </w:tcPr>
          <w:p w14:paraId="38575CE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4,000</w:t>
            </w:r>
          </w:p>
        </w:tc>
        <w:tc>
          <w:tcPr>
            <w:tcW w:w="1688" w:type="dxa"/>
            <w:tcBorders>
              <w:top w:val="single" w:sz="4" w:space="0" w:color="auto"/>
              <w:left w:val="single" w:sz="4" w:space="0" w:color="auto"/>
              <w:bottom w:val="single" w:sz="4" w:space="0" w:color="auto"/>
              <w:right w:val="single" w:sz="4" w:space="0" w:color="auto"/>
            </w:tcBorders>
            <w:vAlign w:val="center"/>
          </w:tcPr>
          <w:p w14:paraId="0A92F1D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4,000</w:t>
            </w:r>
          </w:p>
        </w:tc>
        <w:tc>
          <w:tcPr>
            <w:tcW w:w="1688" w:type="dxa"/>
            <w:vMerge/>
            <w:tcBorders>
              <w:left w:val="single" w:sz="4" w:space="0" w:color="auto"/>
            </w:tcBorders>
            <w:vAlign w:val="center"/>
          </w:tcPr>
          <w:p w14:paraId="1CB0F93F" w14:textId="77777777" w:rsidR="00B04B94" w:rsidRPr="00B04B94" w:rsidRDefault="00B04B94" w:rsidP="00C248C7">
            <w:pPr>
              <w:spacing w:line="276" w:lineRule="auto"/>
              <w:rPr>
                <w:color w:val="000000" w:themeColor="text1"/>
                <w:sz w:val="20"/>
                <w:szCs w:val="20"/>
              </w:rPr>
            </w:pPr>
          </w:p>
        </w:tc>
        <w:tc>
          <w:tcPr>
            <w:tcW w:w="3149" w:type="dxa"/>
            <w:vMerge/>
            <w:vAlign w:val="center"/>
          </w:tcPr>
          <w:p w14:paraId="4C569FA8" w14:textId="77777777" w:rsidR="00B04B94" w:rsidRPr="00B04B94" w:rsidRDefault="00B04B94" w:rsidP="00C248C7">
            <w:pPr>
              <w:spacing w:line="276" w:lineRule="auto"/>
              <w:rPr>
                <w:i/>
                <w:iCs/>
                <w:color w:val="000000" w:themeColor="text1"/>
                <w:sz w:val="20"/>
                <w:szCs w:val="20"/>
                <w:lang w:eastAsia="en-GB"/>
              </w:rPr>
            </w:pPr>
          </w:p>
        </w:tc>
      </w:tr>
      <w:tr w:rsidR="00B04B94" w:rsidRPr="00B04B94" w14:paraId="42968284" w14:textId="77777777" w:rsidTr="00B04B94">
        <w:tc>
          <w:tcPr>
            <w:tcW w:w="487" w:type="dxa"/>
            <w:vMerge/>
            <w:vAlign w:val="center"/>
          </w:tcPr>
          <w:p w14:paraId="218A5EB6"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tcPr>
          <w:p w14:paraId="54603373" w14:textId="77777777" w:rsidR="00B04B94" w:rsidRPr="00B04B94" w:rsidRDefault="00B04B94" w:rsidP="00C248C7">
            <w:pPr>
              <w:spacing w:line="276" w:lineRule="auto"/>
              <w:rPr>
                <w:color w:val="000000" w:themeColor="text1"/>
                <w:sz w:val="20"/>
                <w:szCs w:val="20"/>
                <w:lang w:eastAsia="en-GB"/>
              </w:rPr>
            </w:pPr>
          </w:p>
        </w:tc>
        <w:tc>
          <w:tcPr>
            <w:tcW w:w="3711" w:type="dxa"/>
            <w:tcBorders>
              <w:right w:val="single" w:sz="4" w:space="0" w:color="auto"/>
            </w:tcBorders>
            <w:vAlign w:val="center"/>
          </w:tcPr>
          <w:p w14:paraId="09A2999F"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Im In 2.3. # new FTE decent jobs created (disaggregated by gender, age and green / circular  / digital economy)</w:t>
            </w:r>
          </w:p>
          <w:p w14:paraId="3DEC303E" w14:textId="77777777" w:rsidR="00B04B94" w:rsidRPr="00B04B94" w:rsidRDefault="00B04B94" w:rsidP="00C248C7">
            <w:pPr>
              <w:spacing w:line="276" w:lineRule="auto"/>
              <w:rPr>
                <w:color w:val="000000" w:themeColor="text1"/>
                <w:sz w:val="20"/>
                <w:szCs w:val="20"/>
                <w:lang w:eastAsia="en-GB"/>
              </w:rPr>
            </w:pPr>
          </w:p>
        </w:tc>
        <w:tc>
          <w:tcPr>
            <w:tcW w:w="1688" w:type="dxa"/>
            <w:tcBorders>
              <w:top w:val="single" w:sz="4" w:space="0" w:color="auto"/>
              <w:left w:val="single" w:sz="4" w:space="0" w:color="auto"/>
              <w:bottom w:val="single" w:sz="4" w:space="0" w:color="auto"/>
              <w:right w:val="single" w:sz="4" w:space="0" w:color="auto"/>
            </w:tcBorders>
            <w:vAlign w:val="center"/>
          </w:tcPr>
          <w:p w14:paraId="29039F4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tcBorders>
              <w:top w:val="single" w:sz="4" w:space="0" w:color="auto"/>
              <w:left w:val="single" w:sz="4" w:space="0" w:color="auto"/>
              <w:bottom w:val="single" w:sz="4" w:space="0" w:color="auto"/>
              <w:right w:val="single" w:sz="4" w:space="0" w:color="auto"/>
            </w:tcBorders>
            <w:vAlign w:val="center"/>
          </w:tcPr>
          <w:p w14:paraId="0B03329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2,000</w:t>
            </w:r>
          </w:p>
        </w:tc>
        <w:tc>
          <w:tcPr>
            <w:tcW w:w="1688" w:type="dxa"/>
            <w:vMerge/>
            <w:tcBorders>
              <w:left w:val="single" w:sz="4" w:space="0" w:color="auto"/>
            </w:tcBorders>
            <w:vAlign w:val="center"/>
          </w:tcPr>
          <w:p w14:paraId="391CDBAD" w14:textId="77777777" w:rsidR="00B04B94" w:rsidRPr="00B04B94" w:rsidRDefault="00B04B94" w:rsidP="00C248C7">
            <w:pPr>
              <w:spacing w:line="276" w:lineRule="auto"/>
              <w:rPr>
                <w:color w:val="000000" w:themeColor="text1"/>
                <w:sz w:val="20"/>
                <w:szCs w:val="20"/>
              </w:rPr>
            </w:pPr>
          </w:p>
        </w:tc>
        <w:tc>
          <w:tcPr>
            <w:tcW w:w="3149" w:type="dxa"/>
            <w:vMerge/>
            <w:vAlign w:val="center"/>
          </w:tcPr>
          <w:p w14:paraId="23244C79" w14:textId="77777777" w:rsidR="00B04B94" w:rsidRPr="00B04B94" w:rsidRDefault="00B04B94" w:rsidP="00C248C7">
            <w:pPr>
              <w:spacing w:line="276" w:lineRule="auto"/>
              <w:rPr>
                <w:i/>
                <w:iCs/>
                <w:color w:val="000000" w:themeColor="text1"/>
                <w:sz w:val="20"/>
                <w:szCs w:val="20"/>
                <w:lang w:eastAsia="en-GB"/>
              </w:rPr>
            </w:pPr>
          </w:p>
        </w:tc>
      </w:tr>
      <w:tr w:rsidR="00B04B94" w:rsidRPr="00B04B94" w14:paraId="1EB4BC45" w14:textId="77777777" w:rsidTr="00B04B94">
        <w:tc>
          <w:tcPr>
            <w:tcW w:w="487" w:type="dxa"/>
            <w:shd w:val="clear" w:color="auto" w:fill="D9D9D9" w:themeFill="background1" w:themeFillShade="D9"/>
            <w:textDirection w:val="btLr"/>
            <w:vAlign w:val="center"/>
          </w:tcPr>
          <w:p w14:paraId="2319E383"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tcPr>
          <w:p w14:paraId="3339DF19" w14:textId="77777777" w:rsidR="00B04B94" w:rsidRPr="00B04B94" w:rsidRDefault="00B04B94" w:rsidP="00C248C7">
            <w:pPr>
              <w:spacing w:line="276" w:lineRule="auto"/>
              <w:rPr>
                <w:color w:val="000000" w:themeColor="text1"/>
                <w:sz w:val="20"/>
                <w:szCs w:val="20"/>
                <w:lang w:eastAsia="en-GB"/>
              </w:rPr>
            </w:pPr>
          </w:p>
        </w:tc>
        <w:tc>
          <w:tcPr>
            <w:tcW w:w="3711" w:type="dxa"/>
            <w:tcBorders>
              <w:right w:val="single" w:sz="4" w:space="0" w:color="auto"/>
            </w:tcBorders>
            <w:vAlign w:val="center"/>
          </w:tcPr>
          <w:p w14:paraId="4E30990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Im In 2.4. % expansion of digital technologies and online services</w:t>
            </w:r>
          </w:p>
        </w:tc>
        <w:tc>
          <w:tcPr>
            <w:tcW w:w="1688" w:type="dxa"/>
            <w:tcBorders>
              <w:top w:val="single" w:sz="4" w:space="0" w:color="auto"/>
              <w:left w:val="single" w:sz="4" w:space="0" w:color="auto"/>
              <w:bottom w:val="single" w:sz="4" w:space="0" w:color="auto"/>
              <w:right w:val="single" w:sz="4" w:space="0" w:color="auto"/>
            </w:tcBorders>
            <w:vAlign w:val="center"/>
          </w:tcPr>
          <w:p w14:paraId="396A637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tbc</w:t>
            </w:r>
          </w:p>
        </w:tc>
        <w:tc>
          <w:tcPr>
            <w:tcW w:w="1688" w:type="dxa"/>
            <w:tcBorders>
              <w:top w:val="single" w:sz="4" w:space="0" w:color="auto"/>
              <w:left w:val="single" w:sz="4" w:space="0" w:color="auto"/>
              <w:bottom w:val="single" w:sz="4" w:space="0" w:color="auto"/>
              <w:right w:val="single" w:sz="4" w:space="0" w:color="auto"/>
            </w:tcBorders>
            <w:vAlign w:val="center"/>
          </w:tcPr>
          <w:p w14:paraId="4176136F"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tbc</w:t>
            </w:r>
          </w:p>
        </w:tc>
        <w:tc>
          <w:tcPr>
            <w:tcW w:w="1688" w:type="dxa"/>
            <w:tcBorders>
              <w:left w:val="single" w:sz="4" w:space="0" w:color="auto"/>
            </w:tcBorders>
            <w:vAlign w:val="center"/>
          </w:tcPr>
          <w:p w14:paraId="15BEBEFB" w14:textId="77777777" w:rsidR="00B04B94" w:rsidRPr="00B04B94" w:rsidRDefault="00B04B94" w:rsidP="00C248C7">
            <w:pPr>
              <w:spacing w:line="276" w:lineRule="auto"/>
              <w:rPr>
                <w:color w:val="000000" w:themeColor="text1"/>
                <w:sz w:val="20"/>
                <w:szCs w:val="20"/>
                <w:lang w:eastAsia="en-GB"/>
              </w:rPr>
            </w:pPr>
          </w:p>
        </w:tc>
        <w:tc>
          <w:tcPr>
            <w:tcW w:w="3149" w:type="dxa"/>
            <w:vAlign w:val="center"/>
          </w:tcPr>
          <w:p w14:paraId="51B16D23" w14:textId="77777777" w:rsidR="00B04B94" w:rsidRPr="00B04B94" w:rsidRDefault="00B04B94" w:rsidP="00C248C7">
            <w:pPr>
              <w:spacing w:line="276" w:lineRule="auto"/>
              <w:rPr>
                <w:color w:val="000000" w:themeColor="text1"/>
                <w:sz w:val="20"/>
                <w:szCs w:val="20"/>
                <w:lang w:eastAsia="en-GB"/>
              </w:rPr>
            </w:pPr>
          </w:p>
        </w:tc>
      </w:tr>
      <w:tr w:rsidR="00B04B94" w:rsidRPr="00B04B94" w14:paraId="0A7B90E4" w14:textId="77777777" w:rsidTr="00B04B94">
        <w:tc>
          <w:tcPr>
            <w:tcW w:w="487" w:type="dxa"/>
            <w:vMerge w:val="restart"/>
            <w:shd w:val="clear" w:color="auto" w:fill="D9D9D9" w:themeFill="background1" w:themeFillShade="D9"/>
            <w:textDirection w:val="btLr"/>
            <w:vAlign w:val="center"/>
            <w:hideMark/>
          </w:tcPr>
          <w:p w14:paraId="16A773C4" w14:textId="77777777" w:rsidR="00B04B94" w:rsidRPr="00B04B94" w:rsidRDefault="00B04B94" w:rsidP="00C27128">
            <w:pPr>
              <w:spacing w:line="276" w:lineRule="auto"/>
              <w:jc w:val="both"/>
              <w:rPr>
                <w:b/>
                <w:bCs/>
                <w:i/>
                <w:iCs/>
                <w:color w:val="000000" w:themeColor="text1"/>
                <w:sz w:val="20"/>
                <w:szCs w:val="20"/>
                <w:lang w:eastAsia="en-GB"/>
              </w:rPr>
            </w:pPr>
            <w:r w:rsidRPr="00B04B94">
              <w:rPr>
                <w:b/>
                <w:bCs/>
                <w:i/>
                <w:iCs/>
                <w:color w:val="000000" w:themeColor="text1"/>
                <w:sz w:val="20"/>
                <w:szCs w:val="20"/>
                <w:lang w:eastAsia="en-GB"/>
              </w:rPr>
              <w:t>Outcome (s) (Specific objective(s)</w:t>
            </w:r>
          </w:p>
        </w:tc>
        <w:tc>
          <w:tcPr>
            <w:tcW w:w="1539" w:type="dxa"/>
            <w:vMerge w:val="restart"/>
            <w:vAlign w:val="center"/>
            <w:hideMark/>
          </w:tcPr>
          <w:p w14:paraId="3110F1B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1. To attract more investment and facilitate growth of MSMEs in the green, circular and digital economy in Zambia </w:t>
            </w:r>
          </w:p>
        </w:tc>
        <w:tc>
          <w:tcPr>
            <w:tcW w:w="3711" w:type="dxa"/>
            <w:tcBorders>
              <w:right w:val="single" w:sz="4" w:space="0" w:color="auto"/>
            </w:tcBorders>
            <w:vAlign w:val="center"/>
            <w:hideMark/>
          </w:tcPr>
          <w:p w14:paraId="7216705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Oc In 1.1: Value of private sector investments in green and circular businesses models leveraged with the Action support </w:t>
            </w:r>
          </w:p>
        </w:tc>
        <w:tc>
          <w:tcPr>
            <w:tcW w:w="1688" w:type="dxa"/>
            <w:tcBorders>
              <w:top w:val="nil"/>
              <w:left w:val="single" w:sz="4" w:space="0" w:color="auto"/>
              <w:bottom w:val="single" w:sz="4" w:space="0" w:color="auto"/>
              <w:right w:val="single" w:sz="4" w:space="0" w:color="auto"/>
            </w:tcBorders>
            <w:vAlign w:val="center"/>
            <w:hideMark/>
          </w:tcPr>
          <w:p w14:paraId="61E1B36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EUR 0</w:t>
            </w:r>
          </w:p>
        </w:tc>
        <w:tc>
          <w:tcPr>
            <w:tcW w:w="1688" w:type="dxa"/>
            <w:tcBorders>
              <w:top w:val="nil"/>
              <w:left w:val="single" w:sz="4" w:space="0" w:color="auto"/>
              <w:bottom w:val="single" w:sz="4" w:space="0" w:color="auto"/>
              <w:right w:val="single" w:sz="4" w:space="0" w:color="auto"/>
            </w:tcBorders>
            <w:vAlign w:val="center"/>
            <w:hideMark/>
          </w:tcPr>
          <w:p w14:paraId="2AABFD17"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EUR 20,000,000</w:t>
            </w:r>
          </w:p>
        </w:tc>
        <w:tc>
          <w:tcPr>
            <w:tcW w:w="1688" w:type="dxa"/>
            <w:tcBorders>
              <w:left w:val="single" w:sz="4" w:space="0" w:color="auto"/>
            </w:tcBorders>
            <w:vAlign w:val="center"/>
            <w:hideMark/>
          </w:tcPr>
          <w:p w14:paraId="144F281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Investment tracker</w:t>
            </w:r>
          </w:p>
        </w:tc>
        <w:tc>
          <w:tcPr>
            <w:tcW w:w="3149" w:type="dxa"/>
            <w:vMerge w:val="restart"/>
            <w:vAlign w:val="center"/>
            <w:hideMark/>
          </w:tcPr>
          <w:p w14:paraId="3BC09BD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Macro-economic stability</w:t>
            </w:r>
          </w:p>
          <w:p w14:paraId="67268EFE" w14:textId="77777777" w:rsidR="00B04B94" w:rsidRPr="00B04B94" w:rsidRDefault="00B04B94" w:rsidP="00C248C7">
            <w:pPr>
              <w:spacing w:line="276" w:lineRule="auto"/>
              <w:rPr>
                <w:color w:val="000000" w:themeColor="text1"/>
                <w:sz w:val="20"/>
                <w:szCs w:val="20"/>
                <w:lang w:eastAsia="en-GB"/>
              </w:rPr>
            </w:pPr>
          </w:p>
          <w:p w14:paraId="4D489FF5"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Liberal trade and investment environment maintained </w:t>
            </w:r>
          </w:p>
          <w:p w14:paraId="762D533E" w14:textId="77777777" w:rsidR="00B04B94" w:rsidRPr="00B04B94" w:rsidRDefault="00B04B94" w:rsidP="00C248C7">
            <w:pPr>
              <w:spacing w:line="276" w:lineRule="auto"/>
              <w:rPr>
                <w:color w:val="000000" w:themeColor="text1"/>
                <w:sz w:val="20"/>
                <w:szCs w:val="20"/>
                <w:lang w:eastAsia="en-GB"/>
              </w:rPr>
            </w:pPr>
          </w:p>
          <w:p w14:paraId="43DF582D"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Zambia remains social/political/environmental/health crisis free for implementation</w:t>
            </w:r>
          </w:p>
          <w:p w14:paraId="6A468A57" w14:textId="77777777" w:rsidR="00B04B94" w:rsidRPr="00B04B94" w:rsidRDefault="00B04B94" w:rsidP="00C248C7">
            <w:pPr>
              <w:spacing w:line="276" w:lineRule="auto"/>
              <w:rPr>
                <w:color w:val="000000" w:themeColor="text1"/>
                <w:sz w:val="20"/>
                <w:szCs w:val="20"/>
                <w:lang w:eastAsia="en-GB"/>
              </w:rPr>
            </w:pPr>
          </w:p>
          <w:p w14:paraId="2F361D3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Increases in private and public sector investment supports waste recycling, manufacturing, repair and digital infrastructure</w:t>
            </w:r>
          </w:p>
          <w:p w14:paraId="4A0AEF17" w14:textId="77777777" w:rsidR="00B04B94" w:rsidRPr="00B04B94" w:rsidRDefault="00B04B94" w:rsidP="00C248C7">
            <w:pPr>
              <w:spacing w:line="276" w:lineRule="auto"/>
              <w:rPr>
                <w:color w:val="000000" w:themeColor="text1"/>
                <w:sz w:val="20"/>
                <w:szCs w:val="20"/>
                <w:lang w:eastAsia="en-GB"/>
              </w:rPr>
            </w:pPr>
          </w:p>
          <w:p w14:paraId="20831CB9"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Market conditions and competition among operators support financial innovation and increased access to finance for MSME.</w:t>
            </w:r>
          </w:p>
          <w:p w14:paraId="60F1B71A" w14:textId="77777777" w:rsidR="00B04B94" w:rsidRPr="00B04B94" w:rsidRDefault="00B04B94" w:rsidP="00C248C7">
            <w:pPr>
              <w:spacing w:line="276" w:lineRule="auto"/>
              <w:rPr>
                <w:color w:val="000000" w:themeColor="text1"/>
                <w:sz w:val="20"/>
                <w:szCs w:val="20"/>
                <w:lang w:eastAsia="en-GB"/>
              </w:rPr>
            </w:pPr>
          </w:p>
          <w:p w14:paraId="340A4EB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Growing demand and interest within the SME sector in Zambia for adopting green and circular economy principles and practices, drives continued need for technical assistance and qualified staff.</w:t>
            </w:r>
          </w:p>
        </w:tc>
      </w:tr>
      <w:tr w:rsidR="00B04B94" w:rsidRPr="00B04B94" w14:paraId="4E62A18D" w14:textId="77777777" w:rsidTr="00B04B94">
        <w:tc>
          <w:tcPr>
            <w:tcW w:w="487" w:type="dxa"/>
            <w:vMerge/>
            <w:textDirection w:val="btLr"/>
            <w:vAlign w:val="center"/>
            <w:hideMark/>
          </w:tcPr>
          <w:p w14:paraId="41722157" w14:textId="77777777" w:rsidR="00B04B94" w:rsidRPr="00B04B94" w:rsidRDefault="00B04B94" w:rsidP="00C27128">
            <w:pPr>
              <w:spacing w:line="276" w:lineRule="auto"/>
              <w:jc w:val="both"/>
              <w:rPr>
                <w:color w:val="000000" w:themeColor="text1"/>
                <w:sz w:val="20"/>
                <w:szCs w:val="20"/>
              </w:rPr>
            </w:pPr>
            <w:bookmarkStart w:id="0" w:name="_Hlk159143577"/>
          </w:p>
        </w:tc>
        <w:tc>
          <w:tcPr>
            <w:tcW w:w="1539" w:type="dxa"/>
            <w:vMerge/>
            <w:vAlign w:val="center"/>
            <w:hideMark/>
          </w:tcPr>
          <w:p w14:paraId="5275EE61" w14:textId="77777777" w:rsidR="00B04B94" w:rsidRPr="00B04B94" w:rsidRDefault="00B04B94" w:rsidP="00C248C7">
            <w:pPr>
              <w:spacing w:line="276" w:lineRule="auto"/>
              <w:rPr>
                <w:color w:val="000000" w:themeColor="text1"/>
                <w:sz w:val="20"/>
                <w:szCs w:val="20"/>
              </w:rPr>
            </w:pPr>
          </w:p>
        </w:tc>
        <w:tc>
          <w:tcPr>
            <w:tcW w:w="3711" w:type="dxa"/>
            <w:vAlign w:val="center"/>
            <w:hideMark/>
          </w:tcPr>
          <w:p w14:paraId="1146EF09"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lang w:eastAsia="en-GB"/>
              </w:rPr>
              <w:t xml:space="preserve">Oc In </w:t>
            </w:r>
            <w:r w:rsidRPr="00B04B94">
              <w:rPr>
                <w:color w:val="000000" w:themeColor="text1"/>
                <w:sz w:val="20"/>
                <w:szCs w:val="20"/>
              </w:rPr>
              <w:t xml:space="preserve">1.2. # of targeted MSMEs </w:t>
            </w:r>
          </w:p>
          <w:p w14:paraId="694CE00B"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rPr>
              <w:t>a) recycling waste by type</w:t>
            </w:r>
          </w:p>
          <w:p w14:paraId="453BF38B" w14:textId="77777777" w:rsidR="00B04B94" w:rsidRPr="00B04B94" w:rsidRDefault="00B04B94" w:rsidP="00C248C7">
            <w:pPr>
              <w:pStyle w:val="ListParagraph"/>
              <w:numPr>
                <w:ilvl w:val="0"/>
                <w:numId w:val="37"/>
              </w:numPr>
              <w:spacing w:after="0" w:line="276" w:lineRule="auto"/>
              <w:rPr>
                <w:rFonts w:ascii="Times New Roman" w:eastAsia="Times New Roman" w:hAnsi="Times New Roman" w:cs="Times New Roman"/>
                <w:color w:val="000000" w:themeColor="text1"/>
                <w:sz w:val="20"/>
                <w:szCs w:val="20"/>
              </w:rPr>
            </w:pPr>
            <w:r w:rsidRPr="00B04B94">
              <w:rPr>
                <w:rFonts w:ascii="Times New Roman" w:eastAsia="Times New Roman" w:hAnsi="Times New Roman" w:cs="Times New Roman"/>
                <w:color w:val="000000" w:themeColor="text1"/>
                <w:sz w:val="20"/>
                <w:szCs w:val="20"/>
              </w:rPr>
              <w:t>Organic</w:t>
            </w:r>
          </w:p>
          <w:p w14:paraId="27FAE467" w14:textId="77777777" w:rsidR="00B04B94" w:rsidRPr="00B04B94" w:rsidRDefault="00B04B94" w:rsidP="00C248C7">
            <w:pPr>
              <w:pStyle w:val="ListParagraph"/>
              <w:numPr>
                <w:ilvl w:val="0"/>
                <w:numId w:val="37"/>
              </w:numPr>
              <w:spacing w:after="0" w:line="276" w:lineRule="auto"/>
              <w:rPr>
                <w:rFonts w:ascii="Times New Roman" w:eastAsia="Times New Roman" w:hAnsi="Times New Roman" w:cs="Times New Roman"/>
                <w:color w:val="000000" w:themeColor="text1"/>
                <w:sz w:val="20"/>
                <w:szCs w:val="20"/>
              </w:rPr>
            </w:pPr>
            <w:r w:rsidRPr="00B04B94">
              <w:rPr>
                <w:rFonts w:ascii="Times New Roman" w:eastAsia="Times New Roman" w:hAnsi="Times New Roman" w:cs="Times New Roman"/>
                <w:color w:val="000000" w:themeColor="text1"/>
                <w:sz w:val="20"/>
                <w:szCs w:val="20"/>
              </w:rPr>
              <w:t>Plastic</w:t>
            </w:r>
          </w:p>
          <w:p w14:paraId="5F191324" w14:textId="77777777" w:rsidR="00B04B94" w:rsidRPr="00B04B94" w:rsidRDefault="00B04B94" w:rsidP="00C248C7">
            <w:pPr>
              <w:pStyle w:val="ListParagraph"/>
              <w:numPr>
                <w:ilvl w:val="0"/>
                <w:numId w:val="37"/>
              </w:numPr>
              <w:spacing w:after="0" w:line="276" w:lineRule="auto"/>
              <w:rPr>
                <w:rFonts w:ascii="Times New Roman" w:eastAsia="Times New Roman" w:hAnsi="Times New Roman" w:cs="Times New Roman"/>
                <w:color w:val="000000" w:themeColor="text1"/>
                <w:sz w:val="20"/>
                <w:szCs w:val="20"/>
              </w:rPr>
            </w:pPr>
            <w:r w:rsidRPr="00B04B94">
              <w:rPr>
                <w:rFonts w:ascii="Times New Roman" w:eastAsia="Times New Roman" w:hAnsi="Times New Roman" w:cs="Times New Roman"/>
                <w:color w:val="000000" w:themeColor="text1"/>
                <w:sz w:val="20"/>
                <w:szCs w:val="20"/>
              </w:rPr>
              <w:t>Metal</w:t>
            </w:r>
          </w:p>
          <w:p w14:paraId="6000301B" w14:textId="77777777" w:rsidR="00B04B94" w:rsidRPr="00B04B94" w:rsidRDefault="00B04B94" w:rsidP="00C248C7">
            <w:pPr>
              <w:pStyle w:val="ListParagraph"/>
              <w:numPr>
                <w:ilvl w:val="0"/>
                <w:numId w:val="37"/>
              </w:numPr>
              <w:spacing w:after="0" w:line="276" w:lineRule="auto"/>
              <w:rPr>
                <w:rFonts w:ascii="Times New Roman" w:eastAsia="Times New Roman" w:hAnsi="Times New Roman" w:cs="Times New Roman"/>
                <w:color w:val="000000" w:themeColor="text1"/>
                <w:sz w:val="20"/>
                <w:szCs w:val="20"/>
              </w:rPr>
            </w:pPr>
            <w:r w:rsidRPr="00B04B94">
              <w:rPr>
                <w:rFonts w:ascii="Times New Roman" w:eastAsia="Times New Roman" w:hAnsi="Times New Roman" w:cs="Times New Roman"/>
                <w:color w:val="000000" w:themeColor="text1"/>
                <w:sz w:val="20"/>
                <w:szCs w:val="20"/>
              </w:rPr>
              <w:t>Glass</w:t>
            </w:r>
          </w:p>
          <w:p w14:paraId="02426875" w14:textId="77777777" w:rsidR="00B04B94" w:rsidRPr="00B04B94" w:rsidRDefault="00B04B94" w:rsidP="00C248C7">
            <w:pPr>
              <w:pStyle w:val="ListParagraph"/>
              <w:numPr>
                <w:ilvl w:val="0"/>
                <w:numId w:val="37"/>
              </w:numPr>
              <w:spacing w:after="0" w:line="276" w:lineRule="auto"/>
              <w:rPr>
                <w:rFonts w:ascii="Times New Roman" w:eastAsia="Times New Roman" w:hAnsi="Times New Roman" w:cs="Times New Roman"/>
                <w:color w:val="000000" w:themeColor="text1"/>
                <w:sz w:val="20"/>
                <w:szCs w:val="20"/>
              </w:rPr>
            </w:pPr>
            <w:r w:rsidRPr="00B04B94">
              <w:rPr>
                <w:rFonts w:ascii="Times New Roman" w:eastAsia="Times New Roman" w:hAnsi="Times New Roman" w:cs="Times New Roman"/>
                <w:color w:val="000000" w:themeColor="text1"/>
                <w:sz w:val="20"/>
                <w:szCs w:val="20"/>
              </w:rPr>
              <w:t>E-waste</w:t>
            </w:r>
          </w:p>
          <w:p w14:paraId="48AE1284"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rPr>
              <w:t>b) greening business operations</w:t>
            </w:r>
          </w:p>
          <w:p w14:paraId="59092CC4"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rPr>
              <w:t>c) investing in digital &amp; FinTech business models</w:t>
            </w:r>
          </w:p>
        </w:tc>
        <w:tc>
          <w:tcPr>
            <w:tcW w:w="1688" w:type="dxa"/>
            <w:tcBorders>
              <w:top w:val="single" w:sz="4" w:space="0" w:color="auto"/>
            </w:tcBorders>
            <w:vAlign w:val="center"/>
            <w:hideMark/>
          </w:tcPr>
          <w:p w14:paraId="500751BD"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rPr>
              <w:t>tbc</w:t>
            </w:r>
          </w:p>
        </w:tc>
        <w:tc>
          <w:tcPr>
            <w:tcW w:w="1688" w:type="dxa"/>
            <w:tcBorders>
              <w:top w:val="single" w:sz="4" w:space="0" w:color="auto"/>
            </w:tcBorders>
            <w:vAlign w:val="center"/>
            <w:hideMark/>
          </w:tcPr>
          <w:p w14:paraId="43D7A72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tbc</w:t>
            </w:r>
          </w:p>
        </w:tc>
        <w:tc>
          <w:tcPr>
            <w:tcW w:w="1688" w:type="dxa"/>
            <w:vAlign w:val="center"/>
            <w:hideMark/>
          </w:tcPr>
          <w:p w14:paraId="32FEDA7A"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Company records</w:t>
            </w:r>
          </w:p>
          <w:p w14:paraId="7610400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Project and M&amp;E Reports</w:t>
            </w:r>
          </w:p>
        </w:tc>
        <w:tc>
          <w:tcPr>
            <w:tcW w:w="3149" w:type="dxa"/>
            <w:vMerge/>
            <w:vAlign w:val="center"/>
            <w:hideMark/>
          </w:tcPr>
          <w:p w14:paraId="68743D5A" w14:textId="77777777" w:rsidR="00B04B94" w:rsidRPr="00B04B94" w:rsidRDefault="00B04B94" w:rsidP="00C248C7">
            <w:pPr>
              <w:spacing w:line="276" w:lineRule="auto"/>
              <w:rPr>
                <w:color w:val="000000" w:themeColor="text1"/>
                <w:sz w:val="20"/>
                <w:szCs w:val="20"/>
              </w:rPr>
            </w:pPr>
          </w:p>
        </w:tc>
      </w:tr>
      <w:bookmarkEnd w:id="0"/>
      <w:tr w:rsidR="00B04B94" w:rsidRPr="00B04B94" w14:paraId="095A9E5D" w14:textId="77777777" w:rsidTr="00B04B94">
        <w:tc>
          <w:tcPr>
            <w:tcW w:w="487" w:type="dxa"/>
            <w:vMerge/>
            <w:textDirection w:val="btLr"/>
            <w:vAlign w:val="center"/>
            <w:hideMark/>
          </w:tcPr>
          <w:p w14:paraId="38DC81BA" w14:textId="77777777" w:rsidR="00B04B94" w:rsidRPr="00B04B94" w:rsidRDefault="00B04B94" w:rsidP="00C27128">
            <w:pPr>
              <w:spacing w:line="276" w:lineRule="auto"/>
              <w:jc w:val="both"/>
              <w:rPr>
                <w:color w:val="000000" w:themeColor="text1"/>
                <w:sz w:val="20"/>
                <w:szCs w:val="20"/>
              </w:rPr>
            </w:pPr>
          </w:p>
        </w:tc>
        <w:tc>
          <w:tcPr>
            <w:tcW w:w="1539" w:type="dxa"/>
            <w:vMerge w:val="restart"/>
            <w:vAlign w:val="center"/>
            <w:hideMark/>
          </w:tcPr>
          <w:p w14:paraId="7E699ECC" w14:textId="77777777" w:rsidR="00B04B94" w:rsidRPr="00B04B94" w:rsidRDefault="00B04B94" w:rsidP="00C248C7">
            <w:pPr>
              <w:spacing w:line="276" w:lineRule="auto"/>
              <w:rPr>
                <w:color w:val="000000" w:themeColor="text1"/>
                <w:sz w:val="20"/>
                <w:szCs w:val="20"/>
              </w:rPr>
            </w:pPr>
            <w:r w:rsidRPr="00B04B94">
              <w:rPr>
                <w:color w:val="000000" w:themeColor="text1"/>
                <w:sz w:val="20"/>
                <w:szCs w:val="20"/>
                <w:lang w:eastAsia="en-GB"/>
              </w:rPr>
              <w:t>2. To i</w:t>
            </w:r>
            <w:r w:rsidRPr="00B04B94">
              <w:rPr>
                <w:color w:val="000000" w:themeColor="text1"/>
                <w:sz w:val="20"/>
                <w:szCs w:val="20"/>
              </w:rPr>
              <w:t>mprove formalisation, consolidation, and management capacities of the targeted MSMEs, particularly youth and women-led, promoting their expansion into the green economy and digital business sectors.</w:t>
            </w:r>
          </w:p>
        </w:tc>
        <w:tc>
          <w:tcPr>
            <w:tcW w:w="3711" w:type="dxa"/>
            <w:vAlign w:val="center"/>
            <w:hideMark/>
          </w:tcPr>
          <w:p w14:paraId="34FDFD55"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Oc In </w:t>
            </w:r>
            <w:r w:rsidRPr="00B04B94">
              <w:rPr>
                <w:color w:val="000000" w:themeColor="text1"/>
                <w:sz w:val="20"/>
                <w:szCs w:val="20"/>
              </w:rPr>
              <w:t>2.1.</w:t>
            </w:r>
            <w:r w:rsidRPr="00B04B94">
              <w:rPr>
                <w:rFonts w:eastAsia="system-ui"/>
                <w:color w:val="000000" w:themeColor="text1"/>
                <w:sz w:val="20"/>
                <w:szCs w:val="20"/>
              </w:rPr>
              <w:t xml:space="preserve"> </w:t>
            </w:r>
            <w:r w:rsidRPr="00B04B94">
              <w:rPr>
                <w:color w:val="000000" w:themeColor="text1"/>
                <w:sz w:val="20"/>
                <w:szCs w:val="20"/>
                <w:lang w:eastAsia="en-GB"/>
              </w:rPr>
              <w:t># MSME  supported by the project (% women owned, % youth, % by region) to formalise/develop their businesses that are using the tools and skills provided by the Action</w:t>
            </w:r>
          </w:p>
        </w:tc>
        <w:tc>
          <w:tcPr>
            <w:tcW w:w="1688" w:type="dxa"/>
            <w:vAlign w:val="center"/>
            <w:hideMark/>
          </w:tcPr>
          <w:p w14:paraId="0EEC7E1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vAlign w:val="center"/>
            <w:hideMark/>
          </w:tcPr>
          <w:p w14:paraId="21AD4A5D" w14:textId="77777777" w:rsidR="00B04B94" w:rsidRPr="00B04B94" w:rsidRDefault="00B04B94" w:rsidP="00C248C7">
            <w:pPr>
              <w:spacing w:line="276" w:lineRule="auto"/>
              <w:rPr>
                <w:color w:val="000000" w:themeColor="text1"/>
                <w:sz w:val="20"/>
                <w:szCs w:val="20"/>
                <w:lang w:eastAsia="en-GB"/>
              </w:rPr>
            </w:pPr>
          </w:p>
          <w:p w14:paraId="100A92C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800</w:t>
            </w:r>
          </w:p>
          <w:p w14:paraId="00AC95BD" w14:textId="77777777" w:rsidR="00B04B94" w:rsidRPr="00B04B94" w:rsidRDefault="00B04B94" w:rsidP="00C248C7">
            <w:pPr>
              <w:spacing w:line="276" w:lineRule="auto"/>
              <w:rPr>
                <w:color w:val="000000" w:themeColor="text1"/>
                <w:sz w:val="20"/>
                <w:szCs w:val="20"/>
                <w:lang w:eastAsia="en-GB"/>
              </w:rPr>
            </w:pPr>
          </w:p>
          <w:p w14:paraId="77F919CC" w14:textId="77777777" w:rsidR="00B04B94" w:rsidRPr="00B04B94" w:rsidRDefault="00B04B94" w:rsidP="00C248C7">
            <w:pPr>
              <w:spacing w:line="276" w:lineRule="auto"/>
              <w:rPr>
                <w:color w:val="000000" w:themeColor="text1"/>
                <w:sz w:val="20"/>
                <w:szCs w:val="20"/>
                <w:lang w:eastAsia="en-GB"/>
              </w:rPr>
            </w:pPr>
          </w:p>
        </w:tc>
        <w:tc>
          <w:tcPr>
            <w:tcW w:w="1688" w:type="dxa"/>
            <w:vAlign w:val="center"/>
            <w:hideMark/>
          </w:tcPr>
          <w:p w14:paraId="2F80895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Project Database/Registration Certificate</w:t>
            </w:r>
          </w:p>
          <w:p w14:paraId="71223F46" w14:textId="77777777" w:rsidR="00B04B94" w:rsidRPr="00B04B94" w:rsidRDefault="00B04B94" w:rsidP="00C248C7">
            <w:pPr>
              <w:spacing w:line="276" w:lineRule="auto"/>
              <w:rPr>
                <w:color w:val="000000" w:themeColor="text1"/>
                <w:sz w:val="20"/>
                <w:szCs w:val="20"/>
                <w:lang w:eastAsia="en-GB"/>
              </w:rPr>
            </w:pPr>
          </w:p>
        </w:tc>
        <w:tc>
          <w:tcPr>
            <w:tcW w:w="3149" w:type="dxa"/>
            <w:vMerge/>
            <w:vAlign w:val="center"/>
            <w:hideMark/>
          </w:tcPr>
          <w:p w14:paraId="49E24AC1" w14:textId="77777777" w:rsidR="00B04B94" w:rsidRPr="00B04B94" w:rsidRDefault="00B04B94" w:rsidP="00C248C7">
            <w:pPr>
              <w:spacing w:line="276" w:lineRule="auto"/>
              <w:rPr>
                <w:color w:val="000000" w:themeColor="text1"/>
                <w:sz w:val="20"/>
                <w:szCs w:val="20"/>
              </w:rPr>
            </w:pPr>
          </w:p>
        </w:tc>
      </w:tr>
      <w:tr w:rsidR="00B04B94" w:rsidRPr="00B04B94" w14:paraId="12C932CF" w14:textId="77777777" w:rsidTr="00B04B94">
        <w:tc>
          <w:tcPr>
            <w:tcW w:w="487" w:type="dxa"/>
            <w:vMerge/>
            <w:textDirection w:val="btLr"/>
            <w:vAlign w:val="center"/>
            <w:hideMark/>
          </w:tcPr>
          <w:p w14:paraId="747A1DDD" w14:textId="77777777" w:rsidR="00B04B94" w:rsidRPr="00B04B94" w:rsidRDefault="00B04B94" w:rsidP="00C27128">
            <w:pPr>
              <w:spacing w:line="276" w:lineRule="auto"/>
              <w:jc w:val="both"/>
              <w:rPr>
                <w:color w:val="000000" w:themeColor="text1"/>
                <w:sz w:val="20"/>
                <w:szCs w:val="20"/>
              </w:rPr>
            </w:pPr>
          </w:p>
        </w:tc>
        <w:tc>
          <w:tcPr>
            <w:tcW w:w="1539" w:type="dxa"/>
            <w:vMerge/>
            <w:vAlign w:val="center"/>
            <w:hideMark/>
          </w:tcPr>
          <w:p w14:paraId="0BD89D73" w14:textId="77777777" w:rsidR="00B04B94" w:rsidRPr="00B04B94" w:rsidRDefault="00B04B94" w:rsidP="00C248C7">
            <w:pPr>
              <w:spacing w:line="276" w:lineRule="auto"/>
              <w:rPr>
                <w:color w:val="000000" w:themeColor="text1"/>
                <w:sz w:val="20"/>
                <w:szCs w:val="20"/>
                <w:lang w:eastAsia="en-GB"/>
              </w:rPr>
            </w:pPr>
          </w:p>
        </w:tc>
        <w:tc>
          <w:tcPr>
            <w:tcW w:w="3711" w:type="dxa"/>
            <w:vAlign w:val="center"/>
            <w:hideMark/>
          </w:tcPr>
          <w:p w14:paraId="101D097D"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Oc In 2.2. </w:t>
            </w:r>
            <w:r w:rsidRPr="00B04B94">
              <w:rPr>
                <w:color w:val="000000" w:themeColor="text1"/>
                <w:sz w:val="20"/>
                <w:szCs w:val="20"/>
              </w:rPr>
              <w:t xml:space="preserve"># MSME supported by the Action that are formally registered  </w:t>
            </w:r>
          </w:p>
          <w:p w14:paraId="4501C98A" w14:textId="77777777" w:rsidR="00B04B94" w:rsidRPr="00B04B94" w:rsidRDefault="00B04B94" w:rsidP="00C248C7">
            <w:pPr>
              <w:spacing w:line="276" w:lineRule="auto"/>
              <w:rPr>
                <w:color w:val="000000" w:themeColor="text1"/>
                <w:sz w:val="20"/>
                <w:szCs w:val="20"/>
                <w:lang w:eastAsia="en-GB"/>
              </w:rPr>
            </w:pPr>
          </w:p>
        </w:tc>
        <w:tc>
          <w:tcPr>
            <w:tcW w:w="1688" w:type="dxa"/>
            <w:vAlign w:val="center"/>
            <w:hideMark/>
          </w:tcPr>
          <w:p w14:paraId="709D97C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vAlign w:val="center"/>
            <w:hideMark/>
          </w:tcPr>
          <w:p w14:paraId="68D3EB8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800</w:t>
            </w:r>
          </w:p>
        </w:tc>
        <w:tc>
          <w:tcPr>
            <w:tcW w:w="1688" w:type="dxa"/>
            <w:vAlign w:val="center"/>
            <w:hideMark/>
          </w:tcPr>
          <w:p w14:paraId="578BA1A9"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Project Database/Registration Certificate/M&amp;E Reports</w:t>
            </w:r>
          </w:p>
          <w:p w14:paraId="22C5BA1F" w14:textId="77777777" w:rsidR="00B04B94" w:rsidRPr="00B04B94" w:rsidRDefault="00B04B94" w:rsidP="00C248C7">
            <w:pPr>
              <w:spacing w:line="276" w:lineRule="auto"/>
              <w:rPr>
                <w:color w:val="000000" w:themeColor="text1"/>
                <w:sz w:val="20"/>
                <w:szCs w:val="20"/>
                <w:lang w:eastAsia="en-GB"/>
              </w:rPr>
            </w:pPr>
          </w:p>
        </w:tc>
        <w:tc>
          <w:tcPr>
            <w:tcW w:w="3149" w:type="dxa"/>
            <w:vMerge/>
            <w:vAlign w:val="center"/>
            <w:hideMark/>
          </w:tcPr>
          <w:p w14:paraId="1681F60E" w14:textId="77777777" w:rsidR="00B04B94" w:rsidRPr="00B04B94" w:rsidRDefault="00B04B94" w:rsidP="00C248C7">
            <w:pPr>
              <w:spacing w:line="276" w:lineRule="auto"/>
              <w:rPr>
                <w:color w:val="000000" w:themeColor="text1"/>
                <w:sz w:val="20"/>
                <w:szCs w:val="20"/>
              </w:rPr>
            </w:pPr>
          </w:p>
        </w:tc>
      </w:tr>
      <w:tr w:rsidR="00B04B94" w:rsidRPr="00B04B94" w14:paraId="6790FA05" w14:textId="77777777" w:rsidTr="00B04B94">
        <w:tc>
          <w:tcPr>
            <w:tcW w:w="487" w:type="dxa"/>
            <w:vMerge/>
            <w:vAlign w:val="center"/>
            <w:hideMark/>
          </w:tcPr>
          <w:p w14:paraId="4BAED9C2"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restart"/>
            <w:vAlign w:val="center"/>
            <w:hideMark/>
          </w:tcPr>
          <w:p w14:paraId="0DE4C7EA"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1.1.  550 start-ups and micro-enterprises use technical assistance and grant support to increase skills and capacity in in the green, circular, and digital economy in Zambia</w:t>
            </w:r>
            <w:r w:rsidRPr="00B04B94">
              <w:rPr>
                <w:color w:val="000000" w:themeColor="text1"/>
                <w:sz w:val="20"/>
                <w:szCs w:val="20"/>
              </w:rPr>
              <w:br/>
            </w:r>
          </w:p>
        </w:tc>
        <w:tc>
          <w:tcPr>
            <w:tcW w:w="3711" w:type="dxa"/>
            <w:shd w:val="clear" w:color="auto" w:fill="FFFFFF" w:themeFill="background1"/>
            <w:vAlign w:val="center"/>
            <w:hideMark/>
          </w:tcPr>
          <w:p w14:paraId="1CD606B8"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Op In 1.1.1. # start-ups and micro-enterprises supported by the Action accessing local, regional or international markets  (% owned by women, % owned by youth, province)</w:t>
            </w:r>
          </w:p>
        </w:tc>
        <w:tc>
          <w:tcPr>
            <w:tcW w:w="1688" w:type="dxa"/>
            <w:shd w:val="clear" w:color="auto" w:fill="FFFFFF" w:themeFill="background1"/>
            <w:vAlign w:val="center"/>
            <w:hideMark/>
          </w:tcPr>
          <w:p w14:paraId="59CC88D9"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hideMark/>
          </w:tcPr>
          <w:p w14:paraId="16AADC07"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330</w:t>
            </w:r>
          </w:p>
        </w:tc>
        <w:tc>
          <w:tcPr>
            <w:tcW w:w="1688" w:type="dxa"/>
            <w:shd w:val="clear" w:color="auto" w:fill="FFFFFF" w:themeFill="background1"/>
            <w:vAlign w:val="center"/>
            <w:hideMark/>
          </w:tcPr>
          <w:p w14:paraId="114F68C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Sales records/Project Reports</w:t>
            </w:r>
          </w:p>
        </w:tc>
        <w:tc>
          <w:tcPr>
            <w:tcW w:w="3149" w:type="dxa"/>
            <w:vMerge w:val="restart"/>
            <w:shd w:val="clear" w:color="auto" w:fill="FFFFFF" w:themeFill="background1"/>
            <w:vAlign w:val="center"/>
            <w:hideMark/>
          </w:tcPr>
          <w:p w14:paraId="2E72C6C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Macroeconomic framework remains favourable for enterprise start up and growth.</w:t>
            </w:r>
            <w:r w:rsidRPr="00B04B94">
              <w:rPr>
                <w:color w:val="000000" w:themeColor="text1"/>
                <w:sz w:val="20"/>
                <w:szCs w:val="20"/>
                <w:lang w:eastAsia="en-GB"/>
              </w:rPr>
              <w:br/>
            </w:r>
            <w:r w:rsidRPr="00B04B94">
              <w:rPr>
                <w:color w:val="000000" w:themeColor="text1"/>
                <w:sz w:val="20"/>
                <w:szCs w:val="20"/>
                <w:lang w:eastAsia="en-GB"/>
              </w:rPr>
              <w:br/>
              <w:t>Continued reform of trade policies and reduced non-trade barriers enable competitive access to local, regional and international markets.</w:t>
            </w:r>
            <w:r w:rsidRPr="00B04B94">
              <w:rPr>
                <w:color w:val="000000" w:themeColor="text1"/>
                <w:sz w:val="20"/>
                <w:szCs w:val="20"/>
                <w:lang w:eastAsia="en-GB"/>
              </w:rPr>
              <w:br/>
            </w:r>
            <w:r w:rsidRPr="00B04B94">
              <w:rPr>
                <w:color w:val="000000" w:themeColor="text1"/>
                <w:sz w:val="20"/>
                <w:szCs w:val="20"/>
                <w:lang w:eastAsia="en-GB"/>
              </w:rPr>
              <w:br/>
              <w:t>Viable tools can be developed to access women and youth at scale and in the provinces.</w:t>
            </w:r>
            <w:r w:rsidRPr="00B04B94">
              <w:rPr>
                <w:color w:val="000000" w:themeColor="text1"/>
                <w:sz w:val="20"/>
                <w:szCs w:val="20"/>
                <w:lang w:eastAsia="en-GB"/>
              </w:rPr>
              <w:br/>
            </w:r>
            <w:r w:rsidRPr="00B04B94">
              <w:rPr>
                <w:color w:val="000000" w:themeColor="text1"/>
                <w:sz w:val="20"/>
                <w:szCs w:val="20"/>
                <w:lang w:eastAsia="en-GB"/>
              </w:rPr>
              <w:br/>
              <w:t>Financial institutions have the incentives and capacity to innovate.</w:t>
            </w:r>
            <w:r w:rsidRPr="00B04B94">
              <w:rPr>
                <w:color w:val="000000" w:themeColor="text1"/>
                <w:sz w:val="20"/>
                <w:szCs w:val="20"/>
                <w:lang w:eastAsia="en-GB"/>
              </w:rPr>
              <w:br/>
            </w:r>
            <w:r w:rsidRPr="00B04B94">
              <w:rPr>
                <w:color w:val="000000" w:themeColor="text1"/>
                <w:sz w:val="20"/>
                <w:szCs w:val="20"/>
                <w:lang w:eastAsia="en-GB"/>
              </w:rPr>
              <w:br/>
              <w:t>The financial sector regulatory framework and the macroeconomic situation allow for financial innovation.</w:t>
            </w:r>
          </w:p>
          <w:p w14:paraId="043F794A" w14:textId="77777777" w:rsidR="00B04B94" w:rsidRPr="00B04B94" w:rsidRDefault="00B04B94" w:rsidP="00C248C7">
            <w:pPr>
              <w:spacing w:line="276" w:lineRule="auto"/>
              <w:rPr>
                <w:color w:val="000000" w:themeColor="text1"/>
                <w:sz w:val="20"/>
                <w:szCs w:val="20"/>
                <w:lang w:eastAsia="en-GB"/>
              </w:rPr>
            </w:pPr>
          </w:p>
          <w:p w14:paraId="121CAE9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Increase in responsible business conduct become accepted with adoption for environmental, social and environmental standards.</w:t>
            </w:r>
          </w:p>
          <w:p w14:paraId="71621B0F" w14:textId="77777777" w:rsidR="00B04B94" w:rsidRPr="00B04B94" w:rsidRDefault="00B04B94" w:rsidP="00C248C7">
            <w:pPr>
              <w:spacing w:line="276" w:lineRule="auto"/>
              <w:rPr>
                <w:color w:val="000000" w:themeColor="text1"/>
                <w:sz w:val="20"/>
                <w:szCs w:val="20"/>
                <w:lang w:eastAsia="en-GB"/>
              </w:rPr>
            </w:pPr>
          </w:p>
          <w:p w14:paraId="5BB51099"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GRZ’s Green Growth Strategy, SME Policy and Start-up Bill are backed up by effective implementation. </w:t>
            </w:r>
          </w:p>
          <w:p w14:paraId="4C4AAB0D"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w:t>
            </w:r>
          </w:p>
        </w:tc>
      </w:tr>
      <w:tr w:rsidR="00B04B94" w:rsidRPr="00B04B94" w14:paraId="2FA6E19E" w14:textId="77777777" w:rsidTr="00B04B94">
        <w:tc>
          <w:tcPr>
            <w:tcW w:w="487" w:type="dxa"/>
            <w:vMerge/>
            <w:vAlign w:val="center"/>
            <w:hideMark/>
          </w:tcPr>
          <w:p w14:paraId="3FD48C06"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hideMark/>
          </w:tcPr>
          <w:p w14:paraId="580CA5D5"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hideMark/>
          </w:tcPr>
          <w:p w14:paraId="7842CC8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1.1.2. # Start-ups and micro-enterprises supported with grants to grow their businesses </w:t>
            </w:r>
          </w:p>
        </w:tc>
        <w:tc>
          <w:tcPr>
            <w:tcW w:w="1688" w:type="dxa"/>
            <w:shd w:val="clear" w:color="auto" w:fill="FFFFFF" w:themeFill="background1"/>
            <w:vAlign w:val="center"/>
            <w:hideMark/>
          </w:tcPr>
          <w:p w14:paraId="35ADED7A"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hideMark/>
          </w:tcPr>
          <w:p w14:paraId="6C7C3A4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120</w:t>
            </w:r>
          </w:p>
        </w:tc>
        <w:tc>
          <w:tcPr>
            <w:tcW w:w="1688" w:type="dxa"/>
            <w:shd w:val="clear" w:color="auto" w:fill="FFFFFF" w:themeFill="background1"/>
            <w:vAlign w:val="center"/>
            <w:hideMark/>
          </w:tcPr>
          <w:p w14:paraId="00564E6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Database/Grant contracts</w:t>
            </w:r>
          </w:p>
        </w:tc>
        <w:tc>
          <w:tcPr>
            <w:tcW w:w="3149" w:type="dxa"/>
            <w:vMerge/>
            <w:shd w:val="clear" w:color="auto" w:fill="FFFFFF" w:themeFill="background1"/>
            <w:vAlign w:val="center"/>
            <w:hideMark/>
          </w:tcPr>
          <w:p w14:paraId="0A09A90C" w14:textId="77777777" w:rsidR="00B04B94" w:rsidRPr="00B04B94" w:rsidRDefault="00B04B94" w:rsidP="00C248C7">
            <w:pPr>
              <w:spacing w:line="276" w:lineRule="auto"/>
              <w:rPr>
                <w:color w:val="000000" w:themeColor="text1"/>
                <w:sz w:val="20"/>
                <w:szCs w:val="20"/>
                <w:lang w:eastAsia="en-GB"/>
              </w:rPr>
            </w:pPr>
          </w:p>
        </w:tc>
      </w:tr>
      <w:tr w:rsidR="00B04B94" w:rsidRPr="00B04B94" w14:paraId="60779C40" w14:textId="77777777" w:rsidTr="00B04B94">
        <w:tc>
          <w:tcPr>
            <w:tcW w:w="487" w:type="dxa"/>
            <w:vMerge/>
            <w:vAlign w:val="center"/>
          </w:tcPr>
          <w:p w14:paraId="302A2B5A"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restart"/>
            <w:shd w:val="clear" w:color="auto" w:fill="FFFFFF" w:themeFill="background1"/>
            <w:vAlign w:val="center"/>
          </w:tcPr>
          <w:p w14:paraId="5CCDF8C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1.2. 250 SMEs use technical assistance and grant support for business development   </w:t>
            </w:r>
          </w:p>
        </w:tc>
        <w:tc>
          <w:tcPr>
            <w:tcW w:w="3711" w:type="dxa"/>
            <w:shd w:val="clear" w:color="auto" w:fill="FFFFFF" w:themeFill="background1"/>
            <w:vAlign w:val="center"/>
          </w:tcPr>
          <w:p w14:paraId="64CE64D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1.2.1. # SMEs supported by the Action accessing local regional or international markets (% owned by women, % owned by youth, province) </w:t>
            </w:r>
          </w:p>
        </w:tc>
        <w:tc>
          <w:tcPr>
            <w:tcW w:w="1688" w:type="dxa"/>
            <w:shd w:val="clear" w:color="auto" w:fill="FFFFFF" w:themeFill="background1"/>
            <w:vAlign w:val="center"/>
          </w:tcPr>
          <w:p w14:paraId="5CFE78B8"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tcPr>
          <w:p w14:paraId="296A2009"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250</w:t>
            </w:r>
          </w:p>
        </w:tc>
        <w:tc>
          <w:tcPr>
            <w:tcW w:w="1688" w:type="dxa"/>
            <w:shd w:val="clear" w:color="auto" w:fill="FFFFFF" w:themeFill="background1"/>
            <w:vAlign w:val="center"/>
          </w:tcPr>
          <w:p w14:paraId="437D675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Sales records/Project Reports</w:t>
            </w:r>
          </w:p>
        </w:tc>
        <w:tc>
          <w:tcPr>
            <w:tcW w:w="3149" w:type="dxa"/>
            <w:vMerge/>
            <w:shd w:val="clear" w:color="auto" w:fill="FFFFFF" w:themeFill="background1"/>
            <w:vAlign w:val="center"/>
          </w:tcPr>
          <w:p w14:paraId="3CF36507" w14:textId="77777777" w:rsidR="00B04B94" w:rsidRPr="00B04B94" w:rsidRDefault="00B04B94" w:rsidP="00C248C7">
            <w:pPr>
              <w:spacing w:line="276" w:lineRule="auto"/>
              <w:rPr>
                <w:color w:val="000000" w:themeColor="text1"/>
                <w:sz w:val="20"/>
                <w:szCs w:val="20"/>
                <w:lang w:eastAsia="en-GB"/>
              </w:rPr>
            </w:pPr>
          </w:p>
        </w:tc>
      </w:tr>
      <w:tr w:rsidR="00B04B94" w:rsidRPr="00B04B94" w14:paraId="0256030C" w14:textId="77777777" w:rsidTr="00B04B94">
        <w:tc>
          <w:tcPr>
            <w:tcW w:w="487" w:type="dxa"/>
            <w:vMerge/>
            <w:vAlign w:val="center"/>
            <w:hideMark/>
          </w:tcPr>
          <w:p w14:paraId="67B233DD"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hideMark/>
          </w:tcPr>
          <w:p w14:paraId="3A7CA5B7"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hideMark/>
          </w:tcPr>
          <w:p w14:paraId="5AEE1DB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1.2.2. Increased trade volumes of targeted green and circular economy products by supported SMEs in local, regional or international markets (% owned by women, % owned by youth, province)  </w:t>
            </w:r>
          </w:p>
        </w:tc>
        <w:tc>
          <w:tcPr>
            <w:tcW w:w="1688" w:type="dxa"/>
            <w:shd w:val="clear" w:color="auto" w:fill="FFFFFF" w:themeFill="background1"/>
            <w:vAlign w:val="center"/>
            <w:hideMark/>
          </w:tcPr>
          <w:p w14:paraId="7BF602B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hideMark/>
          </w:tcPr>
          <w:p w14:paraId="27D20FA7"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25% increase</w:t>
            </w:r>
          </w:p>
        </w:tc>
        <w:tc>
          <w:tcPr>
            <w:tcW w:w="1688" w:type="dxa"/>
            <w:shd w:val="clear" w:color="auto" w:fill="FFFFFF" w:themeFill="background1"/>
            <w:vAlign w:val="center"/>
            <w:hideMark/>
          </w:tcPr>
          <w:p w14:paraId="1D749E5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Project Database/Project Reports</w:t>
            </w:r>
          </w:p>
          <w:p w14:paraId="1DEA6BCF" w14:textId="77777777" w:rsidR="00B04B94" w:rsidRPr="00B04B94" w:rsidRDefault="00B04B94" w:rsidP="00C248C7">
            <w:pPr>
              <w:spacing w:line="276" w:lineRule="auto"/>
              <w:rPr>
                <w:color w:val="000000" w:themeColor="text1"/>
                <w:sz w:val="20"/>
                <w:szCs w:val="20"/>
                <w:lang w:eastAsia="en-GB"/>
              </w:rPr>
            </w:pPr>
          </w:p>
          <w:p w14:paraId="4536AAA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Company Sales records/Project Reports</w:t>
            </w:r>
          </w:p>
        </w:tc>
        <w:tc>
          <w:tcPr>
            <w:tcW w:w="3149" w:type="dxa"/>
            <w:vMerge/>
            <w:shd w:val="clear" w:color="auto" w:fill="FFFFFF" w:themeFill="background1"/>
            <w:vAlign w:val="center"/>
            <w:hideMark/>
          </w:tcPr>
          <w:p w14:paraId="5D3CD8CC" w14:textId="77777777" w:rsidR="00B04B94" w:rsidRPr="00B04B94" w:rsidRDefault="00B04B94" w:rsidP="00C248C7">
            <w:pPr>
              <w:spacing w:line="276" w:lineRule="auto"/>
              <w:rPr>
                <w:color w:val="000000" w:themeColor="text1"/>
                <w:sz w:val="20"/>
                <w:szCs w:val="20"/>
                <w:lang w:eastAsia="en-GB"/>
              </w:rPr>
            </w:pPr>
          </w:p>
        </w:tc>
      </w:tr>
      <w:tr w:rsidR="00B04B94" w:rsidRPr="00B04B94" w14:paraId="694AD30A" w14:textId="77777777" w:rsidTr="00B04B94">
        <w:tc>
          <w:tcPr>
            <w:tcW w:w="487" w:type="dxa"/>
            <w:vMerge/>
            <w:vAlign w:val="center"/>
            <w:hideMark/>
          </w:tcPr>
          <w:p w14:paraId="38BF9D48"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hideMark/>
          </w:tcPr>
          <w:p w14:paraId="2A01964C"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hideMark/>
          </w:tcPr>
          <w:p w14:paraId="19EFA28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1.2.3. #SMEs supported with grants to grow their businesses </w:t>
            </w:r>
          </w:p>
        </w:tc>
        <w:tc>
          <w:tcPr>
            <w:tcW w:w="1688" w:type="dxa"/>
            <w:shd w:val="clear" w:color="auto" w:fill="FFFFFF" w:themeFill="background1"/>
            <w:vAlign w:val="center"/>
            <w:hideMark/>
          </w:tcPr>
          <w:p w14:paraId="1939C78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hideMark/>
          </w:tcPr>
          <w:p w14:paraId="58A7E39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90</w:t>
            </w:r>
          </w:p>
        </w:tc>
        <w:tc>
          <w:tcPr>
            <w:tcW w:w="1688" w:type="dxa"/>
            <w:shd w:val="clear" w:color="auto" w:fill="FFFFFF" w:themeFill="background1"/>
            <w:vAlign w:val="center"/>
            <w:hideMark/>
          </w:tcPr>
          <w:p w14:paraId="121F76B6"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Database/Grant contracts</w:t>
            </w:r>
          </w:p>
        </w:tc>
        <w:tc>
          <w:tcPr>
            <w:tcW w:w="3149" w:type="dxa"/>
            <w:vMerge/>
            <w:shd w:val="clear" w:color="auto" w:fill="FFFFFF" w:themeFill="background1"/>
            <w:vAlign w:val="center"/>
            <w:hideMark/>
          </w:tcPr>
          <w:p w14:paraId="5C19EAA0" w14:textId="77777777" w:rsidR="00B04B94" w:rsidRPr="00B04B94" w:rsidRDefault="00B04B94" w:rsidP="00C248C7">
            <w:pPr>
              <w:spacing w:line="276" w:lineRule="auto"/>
              <w:rPr>
                <w:color w:val="000000" w:themeColor="text1"/>
                <w:sz w:val="20"/>
                <w:szCs w:val="20"/>
                <w:lang w:eastAsia="en-GB"/>
              </w:rPr>
            </w:pPr>
          </w:p>
        </w:tc>
      </w:tr>
      <w:tr w:rsidR="00B04B94" w:rsidRPr="00B04B94" w14:paraId="027A92A7" w14:textId="77777777" w:rsidTr="00B04B94">
        <w:tc>
          <w:tcPr>
            <w:tcW w:w="487" w:type="dxa"/>
            <w:vMerge/>
            <w:vAlign w:val="center"/>
            <w:hideMark/>
          </w:tcPr>
          <w:p w14:paraId="768F1B71"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restart"/>
            <w:shd w:val="clear" w:color="auto" w:fill="FFFFFF" w:themeFill="background1"/>
            <w:vAlign w:val="center"/>
            <w:hideMark/>
          </w:tcPr>
          <w:p w14:paraId="6B1CC51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1.3. Financial Service Providers (FSPs)/investors offer increased number of products to green, circular and digital MSMEs</w:t>
            </w:r>
          </w:p>
        </w:tc>
        <w:tc>
          <w:tcPr>
            <w:tcW w:w="3711" w:type="dxa"/>
            <w:shd w:val="clear" w:color="auto" w:fill="FFFFFF" w:themeFill="background1"/>
            <w:vAlign w:val="center"/>
          </w:tcPr>
          <w:p w14:paraId="49C1298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1.3.1. # Financial Service Providers, Impact and Venture Capital investors engaged to provide existing financial products to MSMEs (by type, sector, province, gender of the owner) </w:t>
            </w:r>
          </w:p>
        </w:tc>
        <w:tc>
          <w:tcPr>
            <w:tcW w:w="1688" w:type="dxa"/>
            <w:shd w:val="clear" w:color="auto" w:fill="FFFFFF" w:themeFill="background1"/>
            <w:vAlign w:val="center"/>
          </w:tcPr>
          <w:p w14:paraId="12628F0A"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tcPr>
          <w:p w14:paraId="6A161D3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20</w:t>
            </w:r>
          </w:p>
        </w:tc>
        <w:tc>
          <w:tcPr>
            <w:tcW w:w="1688" w:type="dxa"/>
            <w:shd w:val="clear" w:color="auto" w:fill="FFFFFF" w:themeFill="background1"/>
            <w:vAlign w:val="center"/>
          </w:tcPr>
          <w:p w14:paraId="3383EBDF"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w:t>
            </w:r>
          </w:p>
        </w:tc>
        <w:tc>
          <w:tcPr>
            <w:tcW w:w="3149" w:type="dxa"/>
            <w:vMerge/>
            <w:shd w:val="clear" w:color="auto" w:fill="FFFFFF" w:themeFill="background1"/>
            <w:vAlign w:val="center"/>
            <w:hideMark/>
          </w:tcPr>
          <w:p w14:paraId="66FC9204" w14:textId="77777777" w:rsidR="00B04B94" w:rsidRPr="00B04B94" w:rsidRDefault="00B04B94" w:rsidP="00C248C7">
            <w:pPr>
              <w:spacing w:line="276" w:lineRule="auto"/>
              <w:rPr>
                <w:color w:val="000000" w:themeColor="text1"/>
                <w:sz w:val="20"/>
                <w:szCs w:val="20"/>
                <w:lang w:eastAsia="en-GB"/>
              </w:rPr>
            </w:pPr>
          </w:p>
        </w:tc>
      </w:tr>
      <w:tr w:rsidR="00B04B94" w:rsidRPr="00B04B94" w14:paraId="6096654F" w14:textId="77777777" w:rsidTr="00B04B94">
        <w:tc>
          <w:tcPr>
            <w:tcW w:w="487" w:type="dxa"/>
            <w:vMerge/>
            <w:vAlign w:val="center"/>
          </w:tcPr>
          <w:p w14:paraId="3358B310"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tcPr>
          <w:p w14:paraId="6CDA2E99"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tcPr>
          <w:p w14:paraId="093AA6DC"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1.3.2. # new products: </w:t>
            </w:r>
          </w:p>
          <w:p w14:paraId="2A20026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a) developed &amp; tested, </w:t>
            </w:r>
          </w:p>
          <w:p w14:paraId="29088036"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b) rolled out </w:t>
            </w:r>
          </w:p>
          <w:p w14:paraId="462B4ED7"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for MSMEs by Financial Service Providers, Impact and Venture Capital investors supported by the Action</w:t>
            </w:r>
          </w:p>
        </w:tc>
        <w:tc>
          <w:tcPr>
            <w:tcW w:w="1688" w:type="dxa"/>
            <w:shd w:val="clear" w:color="auto" w:fill="FFFFFF" w:themeFill="background1"/>
            <w:vAlign w:val="center"/>
          </w:tcPr>
          <w:p w14:paraId="067C62E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tcPr>
          <w:p w14:paraId="6CEBE94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3</w:t>
            </w:r>
          </w:p>
        </w:tc>
        <w:tc>
          <w:tcPr>
            <w:tcW w:w="1688" w:type="dxa"/>
            <w:shd w:val="clear" w:color="auto" w:fill="FFFFFF" w:themeFill="background1"/>
            <w:vAlign w:val="center"/>
          </w:tcPr>
          <w:p w14:paraId="4F4D55B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Database/Project Reports</w:t>
            </w:r>
          </w:p>
        </w:tc>
        <w:tc>
          <w:tcPr>
            <w:tcW w:w="3149" w:type="dxa"/>
            <w:vMerge/>
            <w:shd w:val="clear" w:color="auto" w:fill="FFFFFF" w:themeFill="background1"/>
            <w:vAlign w:val="center"/>
          </w:tcPr>
          <w:p w14:paraId="64DF2B8B" w14:textId="77777777" w:rsidR="00B04B94" w:rsidRPr="00B04B94" w:rsidRDefault="00B04B94" w:rsidP="00C248C7">
            <w:pPr>
              <w:spacing w:line="276" w:lineRule="auto"/>
              <w:rPr>
                <w:color w:val="000000" w:themeColor="text1"/>
                <w:sz w:val="20"/>
                <w:szCs w:val="20"/>
                <w:lang w:eastAsia="en-GB"/>
              </w:rPr>
            </w:pPr>
          </w:p>
        </w:tc>
      </w:tr>
      <w:tr w:rsidR="00B04B94" w:rsidRPr="00B04B94" w14:paraId="615EBFDF" w14:textId="77777777" w:rsidTr="00B04B94">
        <w:tc>
          <w:tcPr>
            <w:tcW w:w="487" w:type="dxa"/>
            <w:vMerge/>
            <w:vAlign w:val="center"/>
            <w:hideMark/>
          </w:tcPr>
          <w:p w14:paraId="04B98489"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hideMark/>
          </w:tcPr>
          <w:p w14:paraId="5C1E2068"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hideMark/>
          </w:tcPr>
          <w:p w14:paraId="0ACE2F2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Op In 1.3.3. # MSMEs that through the Action’s support have accessed products provided by Financial Service Providers, Impact and Venture Capital investors (by type, gender and age of the owner)</w:t>
            </w:r>
          </w:p>
        </w:tc>
        <w:tc>
          <w:tcPr>
            <w:tcW w:w="1688" w:type="dxa"/>
            <w:shd w:val="clear" w:color="auto" w:fill="FFFFFF" w:themeFill="background1"/>
            <w:vAlign w:val="center"/>
            <w:hideMark/>
          </w:tcPr>
          <w:p w14:paraId="22F441FD"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hideMark/>
          </w:tcPr>
          <w:p w14:paraId="0F9457B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1,000</w:t>
            </w:r>
          </w:p>
        </w:tc>
        <w:tc>
          <w:tcPr>
            <w:tcW w:w="1688" w:type="dxa"/>
            <w:shd w:val="clear" w:color="auto" w:fill="FFFFFF" w:themeFill="background1"/>
            <w:vAlign w:val="center"/>
            <w:hideMark/>
          </w:tcPr>
          <w:p w14:paraId="6CBA36DA"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Database/Project Reports</w:t>
            </w:r>
          </w:p>
        </w:tc>
        <w:tc>
          <w:tcPr>
            <w:tcW w:w="3149" w:type="dxa"/>
            <w:vMerge/>
            <w:shd w:val="clear" w:color="auto" w:fill="FFFFFF" w:themeFill="background1"/>
            <w:vAlign w:val="center"/>
            <w:hideMark/>
          </w:tcPr>
          <w:p w14:paraId="3ED736D1" w14:textId="77777777" w:rsidR="00B04B94" w:rsidRPr="00B04B94" w:rsidRDefault="00B04B94" w:rsidP="00C248C7">
            <w:pPr>
              <w:spacing w:line="276" w:lineRule="auto"/>
              <w:rPr>
                <w:color w:val="000000" w:themeColor="text1"/>
                <w:sz w:val="20"/>
                <w:szCs w:val="20"/>
                <w:lang w:eastAsia="en-GB"/>
              </w:rPr>
            </w:pPr>
          </w:p>
        </w:tc>
      </w:tr>
      <w:tr w:rsidR="00B04B94" w:rsidRPr="00B04B94" w14:paraId="2649CAA0" w14:textId="77777777" w:rsidTr="00B04B94">
        <w:tc>
          <w:tcPr>
            <w:tcW w:w="487" w:type="dxa"/>
            <w:vMerge/>
            <w:vAlign w:val="center"/>
          </w:tcPr>
          <w:p w14:paraId="0AF3C6F3"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restart"/>
            <w:shd w:val="clear" w:color="auto" w:fill="FFFFFF" w:themeFill="background1"/>
            <w:vAlign w:val="center"/>
          </w:tcPr>
          <w:p w14:paraId="4524123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1.4. Peer-led private-public learning events are held and policy briefs are developed to influence the green, circular and digital economy standards and practice</w:t>
            </w:r>
          </w:p>
        </w:tc>
        <w:tc>
          <w:tcPr>
            <w:tcW w:w="3711" w:type="dxa"/>
            <w:shd w:val="clear" w:color="auto" w:fill="FFFFFF" w:themeFill="background1"/>
            <w:vAlign w:val="center"/>
          </w:tcPr>
          <w:p w14:paraId="13DAF1A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Op In 1.4.1.  # learning / networking events aimed at improving standards and practice</w:t>
            </w:r>
          </w:p>
        </w:tc>
        <w:tc>
          <w:tcPr>
            <w:tcW w:w="1688" w:type="dxa"/>
            <w:shd w:val="clear" w:color="auto" w:fill="FFFFFF" w:themeFill="background1"/>
            <w:vAlign w:val="center"/>
          </w:tcPr>
          <w:p w14:paraId="5175D70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tcPr>
          <w:p w14:paraId="30C62FCF"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12</w:t>
            </w:r>
          </w:p>
        </w:tc>
        <w:tc>
          <w:tcPr>
            <w:tcW w:w="1688" w:type="dxa"/>
            <w:shd w:val="clear" w:color="auto" w:fill="FFFFFF" w:themeFill="background1"/>
            <w:vAlign w:val="center"/>
          </w:tcPr>
          <w:p w14:paraId="28E50CA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Database/Events Reports</w:t>
            </w:r>
          </w:p>
        </w:tc>
        <w:tc>
          <w:tcPr>
            <w:tcW w:w="3149" w:type="dxa"/>
            <w:vMerge/>
            <w:shd w:val="clear" w:color="auto" w:fill="FFFFFF" w:themeFill="background1"/>
            <w:vAlign w:val="center"/>
          </w:tcPr>
          <w:p w14:paraId="76228B60" w14:textId="77777777" w:rsidR="00B04B94" w:rsidRPr="00B04B94" w:rsidRDefault="00B04B94" w:rsidP="00C248C7">
            <w:pPr>
              <w:spacing w:line="276" w:lineRule="auto"/>
              <w:rPr>
                <w:color w:val="000000" w:themeColor="text1"/>
                <w:sz w:val="20"/>
                <w:szCs w:val="20"/>
                <w:lang w:eastAsia="en-GB"/>
              </w:rPr>
            </w:pPr>
          </w:p>
        </w:tc>
      </w:tr>
      <w:tr w:rsidR="00B04B94" w:rsidRPr="00B04B94" w14:paraId="208C97A4" w14:textId="77777777" w:rsidTr="00B04B94">
        <w:tc>
          <w:tcPr>
            <w:tcW w:w="487" w:type="dxa"/>
            <w:vMerge/>
            <w:vAlign w:val="center"/>
            <w:hideMark/>
          </w:tcPr>
          <w:p w14:paraId="77EF336A"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shd w:val="clear" w:color="auto" w:fill="FFFFFF" w:themeFill="background1"/>
            <w:vAlign w:val="center"/>
            <w:hideMark/>
          </w:tcPr>
          <w:p w14:paraId="2E945ACD"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hideMark/>
          </w:tcPr>
          <w:p w14:paraId="0C6C3687"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1.4.2. # policy and learning briefs developed and published </w:t>
            </w:r>
          </w:p>
        </w:tc>
        <w:tc>
          <w:tcPr>
            <w:tcW w:w="1688" w:type="dxa"/>
            <w:shd w:val="clear" w:color="auto" w:fill="FFFFFF" w:themeFill="background1"/>
            <w:vAlign w:val="center"/>
            <w:hideMark/>
          </w:tcPr>
          <w:p w14:paraId="2E749A88"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hideMark/>
          </w:tcPr>
          <w:p w14:paraId="4A5923C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7</w:t>
            </w:r>
          </w:p>
        </w:tc>
        <w:tc>
          <w:tcPr>
            <w:tcW w:w="1688" w:type="dxa"/>
            <w:shd w:val="clear" w:color="auto" w:fill="FFFFFF" w:themeFill="background1"/>
            <w:vAlign w:val="center"/>
            <w:hideMark/>
          </w:tcPr>
          <w:p w14:paraId="4299781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 /Policy and Learning events</w:t>
            </w:r>
          </w:p>
        </w:tc>
        <w:tc>
          <w:tcPr>
            <w:tcW w:w="3149" w:type="dxa"/>
            <w:vMerge/>
            <w:shd w:val="clear" w:color="auto" w:fill="FFFFFF" w:themeFill="background1"/>
            <w:vAlign w:val="center"/>
            <w:hideMark/>
          </w:tcPr>
          <w:p w14:paraId="14A1DC49" w14:textId="77777777" w:rsidR="00B04B94" w:rsidRPr="00B04B94" w:rsidRDefault="00B04B94" w:rsidP="00C248C7">
            <w:pPr>
              <w:spacing w:line="276" w:lineRule="auto"/>
              <w:rPr>
                <w:color w:val="000000" w:themeColor="text1"/>
                <w:sz w:val="20"/>
                <w:szCs w:val="20"/>
                <w:lang w:eastAsia="en-GB"/>
              </w:rPr>
            </w:pPr>
          </w:p>
        </w:tc>
      </w:tr>
      <w:tr w:rsidR="00B04B94" w:rsidRPr="00B04B94" w14:paraId="3A6B65DC" w14:textId="77777777" w:rsidTr="00B04B94">
        <w:tc>
          <w:tcPr>
            <w:tcW w:w="487" w:type="dxa"/>
            <w:vMerge/>
            <w:vAlign w:val="center"/>
            <w:hideMark/>
          </w:tcPr>
          <w:p w14:paraId="4CA22E1E"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restart"/>
            <w:shd w:val="clear" w:color="auto" w:fill="FFFFFF" w:themeFill="background1"/>
            <w:vAlign w:val="center"/>
            <w:hideMark/>
          </w:tcPr>
          <w:p w14:paraId="04D00FF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2.1. Business Development Service Providers (BDSPs) use technical assistance and grant support to increase the provision of services to MSMEs particularly in the green, circular and digital economy</w:t>
            </w:r>
          </w:p>
        </w:tc>
        <w:tc>
          <w:tcPr>
            <w:tcW w:w="3711" w:type="dxa"/>
            <w:shd w:val="clear" w:color="auto" w:fill="FFFFFF" w:themeFill="background1"/>
            <w:vAlign w:val="center"/>
          </w:tcPr>
          <w:p w14:paraId="3D00384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Op In 2.1.1. # BDSPs  that receive support in green and circular business models and green finance to upgrade their services related to supporting MSME in the green, circular, and digital economies</w:t>
            </w:r>
          </w:p>
        </w:tc>
        <w:tc>
          <w:tcPr>
            <w:tcW w:w="1688" w:type="dxa"/>
            <w:shd w:val="clear" w:color="auto" w:fill="FFFFFF" w:themeFill="background1"/>
            <w:vAlign w:val="center"/>
          </w:tcPr>
          <w:p w14:paraId="4C7B4685"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tcPr>
          <w:p w14:paraId="304D3089"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11</w:t>
            </w:r>
          </w:p>
        </w:tc>
        <w:tc>
          <w:tcPr>
            <w:tcW w:w="1688" w:type="dxa"/>
            <w:shd w:val="clear" w:color="auto" w:fill="FFFFFF" w:themeFill="background1"/>
            <w:vAlign w:val="center"/>
          </w:tcPr>
          <w:p w14:paraId="24A6947B"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Database/Grants contracts</w:t>
            </w:r>
          </w:p>
        </w:tc>
        <w:tc>
          <w:tcPr>
            <w:tcW w:w="3149" w:type="dxa"/>
            <w:vMerge w:val="restart"/>
            <w:shd w:val="clear" w:color="auto" w:fill="FFFFFF" w:themeFill="background1"/>
            <w:vAlign w:val="center"/>
            <w:hideMark/>
          </w:tcPr>
          <w:p w14:paraId="259B0B2D"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The supported MSMEs receive on-going support by the Business Development Services Providers (BDSP).</w:t>
            </w:r>
            <w:r w:rsidRPr="00B04B94">
              <w:rPr>
                <w:color w:val="000000" w:themeColor="text1"/>
                <w:sz w:val="20"/>
                <w:szCs w:val="20"/>
                <w:lang w:eastAsia="en-GB"/>
              </w:rPr>
              <w:br/>
            </w:r>
            <w:r w:rsidRPr="00B04B94">
              <w:rPr>
                <w:color w:val="000000" w:themeColor="text1"/>
                <w:sz w:val="20"/>
                <w:szCs w:val="20"/>
                <w:lang w:eastAsia="en-GB"/>
              </w:rPr>
              <w:br/>
              <w:t>BSDP develop sustainable business models.</w:t>
            </w:r>
          </w:p>
          <w:p w14:paraId="480884AE" w14:textId="77777777" w:rsidR="00B04B94" w:rsidRPr="00B04B94" w:rsidRDefault="00B04B94" w:rsidP="00C248C7">
            <w:pPr>
              <w:spacing w:line="276" w:lineRule="auto"/>
              <w:rPr>
                <w:color w:val="000000" w:themeColor="text1"/>
                <w:sz w:val="20"/>
                <w:szCs w:val="20"/>
                <w:lang w:eastAsia="en-GB"/>
              </w:rPr>
            </w:pPr>
          </w:p>
          <w:p w14:paraId="09D6DE0E"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BDSP is appreciated by the different stakeholders and allow to increase the offer and keep it accessible to MSMEs.</w:t>
            </w:r>
          </w:p>
          <w:p w14:paraId="13118692" w14:textId="77777777" w:rsidR="00B04B94" w:rsidRPr="00B04B94" w:rsidRDefault="00B04B94" w:rsidP="00C248C7">
            <w:pPr>
              <w:spacing w:line="276" w:lineRule="auto"/>
              <w:rPr>
                <w:color w:val="000000" w:themeColor="text1"/>
                <w:sz w:val="20"/>
                <w:szCs w:val="20"/>
                <w:lang w:eastAsia="en-GB"/>
              </w:rPr>
            </w:pPr>
          </w:p>
          <w:p w14:paraId="22644D75"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TVET graduates are able to find employment and/or start businesses.</w:t>
            </w:r>
          </w:p>
          <w:p w14:paraId="7CFC40BD" w14:textId="77777777" w:rsidR="00B04B94" w:rsidRPr="00B04B94" w:rsidRDefault="00B04B94" w:rsidP="00C248C7">
            <w:pPr>
              <w:spacing w:line="276" w:lineRule="auto"/>
              <w:rPr>
                <w:color w:val="000000" w:themeColor="text1"/>
                <w:sz w:val="20"/>
                <w:szCs w:val="20"/>
                <w:lang w:eastAsia="en-GB"/>
              </w:rPr>
            </w:pPr>
          </w:p>
          <w:p w14:paraId="744C9E8C"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FabLab attracts sufficient students to remain viable with functioning equipment.</w:t>
            </w:r>
            <w:r w:rsidRPr="00B04B94">
              <w:rPr>
                <w:color w:val="000000" w:themeColor="text1"/>
                <w:sz w:val="20"/>
                <w:szCs w:val="20"/>
                <w:lang w:eastAsia="en-GB"/>
              </w:rPr>
              <w:br/>
            </w:r>
            <w:r w:rsidRPr="00B04B94">
              <w:rPr>
                <w:color w:val="000000" w:themeColor="text1"/>
                <w:sz w:val="20"/>
                <w:szCs w:val="20"/>
                <w:lang w:eastAsia="en-GB"/>
              </w:rPr>
              <w:br/>
            </w:r>
          </w:p>
        </w:tc>
      </w:tr>
      <w:tr w:rsidR="00B04B94" w:rsidRPr="00B04B94" w14:paraId="0D2E3DB7" w14:textId="77777777" w:rsidTr="00B04B94">
        <w:tc>
          <w:tcPr>
            <w:tcW w:w="487" w:type="dxa"/>
            <w:vMerge/>
            <w:vAlign w:val="center"/>
          </w:tcPr>
          <w:p w14:paraId="452F6C48"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tcPr>
          <w:p w14:paraId="4759EB4F"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tcPr>
          <w:p w14:paraId="5FA517C7"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 xml:space="preserve">Op In 2.1.2. # BDSPs that develop and provide services targeted at women and youth-owned MSMEs with the support of the Action </w:t>
            </w:r>
          </w:p>
        </w:tc>
        <w:tc>
          <w:tcPr>
            <w:tcW w:w="1688" w:type="dxa"/>
            <w:shd w:val="clear" w:color="auto" w:fill="FFFFFF" w:themeFill="background1"/>
            <w:vAlign w:val="center"/>
          </w:tcPr>
          <w:p w14:paraId="5B8E249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shd w:val="clear" w:color="auto" w:fill="FFFFFF" w:themeFill="background1"/>
            <w:vAlign w:val="center"/>
          </w:tcPr>
          <w:p w14:paraId="771E223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11</w:t>
            </w:r>
          </w:p>
        </w:tc>
        <w:tc>
          <w:tcPr>
            <w:tcW w:w="1688" w:type="dxa"/>
            <w:shd w:val="clear" w:color="auto" w:fill="FFFFFF" w:themeFill="background1"/>
            <w:vAlign w:val="center"/>
          </w:tcPr>
          <w:p w14:paraId="1EB30EF4"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Database/Grants contracts</w:t>
            </w:r>
          </w:p>
        </w:tc>
        <w:tc>
          <w:tcPr>
            <w:tcW w:w="3149" w:type="dxa"/>
            <w:vMerge/>
            <w:shd w:val="clear" w:color="auto" w:fill="FFFFFF" w:themeFill="background1"/>
            <w:vAlign w:val="center"/>
          </w:tcPr>
          <w:p w14:paraId="56516F78" w14:textId="77777777" w:rsidR="00B04B94" w:rsidRPr="00B04B94" w:rsidRDefault="00B04B94" w:rsidP="00C248C7">
            <w:pPr>
              <w:spacing w:line="276" w:lineRule="auto"/>
              <w:rPr>
                <w:color w:val="000000" w:themeColor="text1"/>
                <w:sz w:val="20"/>
                <w:szCs w:val="20"/>
                <w:lang w:eastAsia="en-GB"/>
              </w:rPr>
            </w:pPr>
          </w:p>
        </w:tc>
      </w:tr>
      <w:tr w:rsidR="00B04B94" w:rsidRPr="00B04B94" w14:paraId="04A72AD8" w14:textId="77777777" w:rsidTr="00B04B94">
        <w:tc>
          <w:tcPr>
            <w:tcW w:w="487" w:type="dxa"/>
            <w:vMerge/>
            <w:vAlign w:val="center"/>
            <w:hideMark/>
          </w:tcPr>
          <w:p w14:paraId="42025745"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restart"/>
            <w:shd w:val="clear" w:color="auto" w:fill="FFFFFF" w:themeFill="background1"/>
            <w:vAlign w:val="center"/>
            <w:hideMark/>
          </w:tcPr>
          <w:p w14:paraId="6EDAB7F9"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2.2. Technical and Vocational Education and Training (TVET) providers increase the quality of skills training and development opportunities for a green, circular and digital economy workforce</w:t>
            </w:r>
          </w:p>
        </w:tc>
        <w:tc>
          <w:tcPr>
            <w:tcW w:w="3711" w:type="dxa"/>
            <w:shd w:val="clear" w:color="auto" w:fill="FFFFFF" w:themeFill="background1"/>
            <w:vAlign w:val="center"/>
          </w:tcPr>
          <w:p w14:paraId="57D0B75A"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Op In 2.2.1. # Fabrication Laboratories (FabLab) established</w:t>
            </w:r>
          </w:p>
          <w:p w14:paraId="7D16E71C"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a) # FabLabs</w:t>
            </w:r>
          </w:p>
          <w:p w14:paraId="72AD2131"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b) # Trainers certified</w:t>
            </w:r>
          </w:p>
          <w:p w14:paraId="76DF56F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c) # students using FabLabs</w:t>
            </w:r>
          </w:p>
        </w:tc>
        <w:tc>
          <w:tcPr>
            <w:tcW w:w="1688" w:type="dxa"/>
            <w:shd w:val="clear" w:color="auto" w:fill="FFFFFF" w:themeFill="background1"/>
            <w:vAlign w:val="center"/>
          </w:tcPr>
          <w:p w14:paraId="711795BF"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vAlign w:val="center"/>
          </w:tcPr>
          <w:p w14:paraId="30D8A8C3"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2</w:t>
            </w:r>
          </w:p>
        </w:tc>
        <w:tc>
          <w:tcPr>
            <w:tcW w:w="1688" w:type="dxa"/>
            <w:shd w:val="clear" w:color="auto" w:fill="FFFFFF" w:themeFill="background1"/>
            <w:vAlign w:val="center"/>
          </w:tcPr>
          <w:p w14:paraId="5E67951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FabLabs</w:t>
            </w:r>
          </w:p>
        </w:tc>
        <w:tc>
          <w:tcPr>
            <w:tcW w:w="3149" w:type="dxa"/>
            <w:vMerge/>
            <w:shd w:val="clear" w:color="auto" w:fill="FFFFFF" w:themeFill="background1"/>
            <w:vAlign w:val="center"/>
            <w:hideMark/>
          </w:tcPr>
          <w:p w14:paraId="46CEBFF6" w14:textId="77777777" w:rsidR="00B04B94" w:rsidRPr="00B04B94" w:rsidRDefault="00B04B94" w:rsidP="00C248C7">
            <w:pPr>
              <w:spacing w:line="276" w:lineRule="auto"/>
              <w:rPr>
                <w:color w:val="000000" w:themeColor="text1"/>
                <w:sz w:val="20"/>
                <w:szCs w:val="20"/>
                <w:lang w:eastAsia="en-GB"/>
              </w:rPr>
            </w:pPr>
          </w:p>
        </w:tc>
      </w:tr>
      <w:tr w:rsidR="00B04B94" w:rsidRPr="00B04B94" w14:paraId="5F8BA155" w14:textId="77777777" w:rsidTr="00B04B94">
        <w:trPr>
          <w:trHeight w:val="1979"/>
        </w:trPr>
        <w:tc>
          <w:tcPr>
            <w:tcW w:w="487" w:type="dxa"/>
            <w:vMerge/>
            <w:vAlign w:val="center"/>
            <w:hideMark/>
          </w:tcPr>
          <w:p w14:paraId="1C235838" w14:textId="77777777" w:rsidR="00B04B94" w:rsidRPr="00B04B94" w:rsidRDefault="00B04B94" w:rsidP="00C27128">
            <w:pPr>
              <w:spacing w:line="276" w:lineRule="auto"/>
              <w:jc w:val="both"/>
              <w:rPr>
                <w:b/>
                <w:bCs/>
                <w:i/>
                <w:iCs/>
                <w:color w:val="000000" w:themeColor="text1"/>
                <w:sz w:val="20"/>
                <w:szCs w:val="20"/>
                <w:lang w:eastAsia="en-GB"/>
              </w:rPr>
            </w:pPr>
          </w:p>
        </w:tc>
        <w:tc>
          <w:tcPr>
            <w:tcW w:w="1539" w:type="dxa"/>
            <w:vMerge/>
            <w:vAlign w:val="center"/>
            <w:hideMark/>
          </w:tcPr>
          <w:p w14:paraId="12FC1538" w14:textId="77777777" w:rsidR="00B04B94" w:rsidRPr="00B04B94" w:rsidRDefault="00B04B94" w:rsidP="00C248C7">
            <w:pPr>
              <w:spacing w:line="276" w:lineRule="auto"/>
              <w:rPr>
                <w:color w:val="000000" w:themeColor="text1"/>
                <w:sz w:val="20"/>
                <w:szCs w:val="20"/>
                <w:lang w:eastAsia="en-GB"/>
              </w:rPr>
            </w:pPr>
          </w:p>
        </w:tc>
        <w:tc>
          <w:tcPr>
            <w:tcW w:w="3711" w:type="dxa"/>
            <w:shd w:val="clear" w:color="auto" w:fill="FFFFFF" w:themeFill="background1"/>
            <w:vAlign w:val="center"/>
          </w:tcPr>
          <w:p w14:paraId="6BC6B3A6"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Op In 2.2.2. # modules developed on green, circular and digital economy to align with the current industry skill needs</w:t>
            </w:r>
          </w:p>
        </w:tc>
        <w:tc>
          <w:tcPr>
            <w:tcW w:w="1688" w:type="dxa"/>
            <w:shd w:val="clear" w:color="auto" w:fill="FFFFFF" w:themeFill="background1"/>
            <w:vAlign w:val="center"/>
          </w:tcPr>
          <w:p w14:paraId="40E6CAE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0</w:t>
            </w:r>
          </w:p>
        </w:tc>
        <w:tc>
          <w:tcPr>
            <w:tcW w:w="1688" w:type="dxa"/>
            <w:vAlign w:val="center"/>
          </w:tcPr>
          <w:p w14:paraId="71022960"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tbc</w:t>
            </w:r>
          </w:p>
        </w:tc>
        <w:tc>
          <w:tcPr>
            <w:tcW w:w="1688" w:type="dxa"/>
            <w:shd w:val="clear" w:color="auto" w:fill="FFFFFF" w:themeFill="background1"/>
            <w:vAlign w:val="center"/>
          </w:tcPr>
          <w:p w14:paraId="6A1A0D92" w14:textId="77777777" w:rsidR="00B04B94" w:rsidRPr="00B04B94" w:rsidRDefault="00B04B94" w:rsidP="00C248C7">
            <w:pPr>
              <w:spacing w:line="276" w:lineRule="auto"/>
              <w:rPr>
                <w:color w:val="000000" w:themeColor="text1"/>
                <w:sz w:val="20"/>
                <w:szCs w:val="20"/>
                <w:lang w:eastAsia="en-GB"/>
              </w:rPr>
            </w:pPr>
            <w:r w:rsidRPr="00B04B94">
              <w:rPr>
                <w:color w:val="000000" w:themeColor="text1"/>
                <w:sz w:val="20"/>
                <w:szCs w:val="20"/>
                <w:lang w:eastAsia="en-GB"/>
              </w:rPr>
              <w:t>Modules</w:t>
            </w:r>
          </w:p>
        </w:tc>
        <w:tc>
          <w:tcPr>
            <w:tcW w:w="3149" w:type="dxa"/>
            <w:vMerge/>
            <w:shd w:val="clear" w:color="auto" w:fill="FFFFFF" w:themeFill="background1"/>
            <w:vAlign w:val="center"/>
            <w:hideMark/>
          </w:tcPr>
          <w:p w14:paraId="04878F28" w14:textId="77777777" w:rsidR="00B04B94" w:rsidRPr="00B04B94" w:rsidRDefault="00B04B94" w:rsidP="00C248C7">
            <w:pPr>
              <w:spacing w:line="276" w:lineRule="auto"/>
              <w:rPr>
                <w:color w:val="000000" w:themeColor="text1"/>
                <w:sz w:val="20"/>
                <w:szCs w:val="20"/>
                <w:lang w:eastAsia="en-GB"/>
              </w:rPr>
            </w:pPr>
          </w:p>
        </w:tc>
      </w:tr>
    </w:tbl>
    <w:p w14:paraId="3382DA63" w14:textId="77777777" w:rsidR="00ED2F36" w:rsidRPr="004604C7" w:rsidRDefault="00ED2F36" w:rsidP="00C27128">
      <w:pPr>
        <w:spacing w:line="276" w:lineRule="auto"/>
        <w:contextualSpacing/>
        <w:jc w:val="both"/>
        <w:rPr>
          <w:rFonts w:ascii="Arial" w:hAnsi="Arial" w:cs="Arial"/>
          <w:color w:val="92D050"/>
          <w:sz w:val="22"/>
          <w:szCs w:val="22"/>
        </w:rPr>
      </w:pPr>
    </w:p>
    <w:p w14:paraId="293763BB" w14:textId="4146E029" w:rsidR="009A753C" w:rsidRDefault="009A753C">
      <w:pPr>
        <w:spacing w:after="160" w:line="259" w:lineRule="auto"/>
        <w:rPr>
          <w:rFonts w:ascii="Arial" w:hAnsi="Arial" w:cs="Arial"/>
          <w:sz w:val="22"/>
          <w:szCs w:val="22"/>
        </w:rPr>
      </w:pPr>
      <w:r>
        <w:rPr>
          <w:rFonts w:ascii="Arial" w:hAnsi="Arial" w:cs="Arial"/>
          <w:sz w:val="22"/>
          <w:szCs w:val="22"/>
        </w:rPr>
        <w:br w:type="page"/>
      </w:r>
    </w:p>
    <w:p w14:paraId="76DA6331" w14:textId="77777777" w:rsidR="009A753C" w:rsidRPr="00F2213F" w:rsidRDefault="009A753C" w:rsidP="009A753C">
      <w:pPr>
        <w:rPr>
          <w:b/>
          <w:bCs/>
          <w:color w:val="000000" w:themeColor="text1"/>
          <w:sz w:val="20"/>
          <w:lang w:eastAsia="en-GB"/>
        </w:rPr>
      </w:pPr>
      <w:r w:rsidRPr="00F2213F">
        <w:rPr>
          <w:b/>
          <w:bCs/>
          <w:color w:val="000000" w:themeColor="text1"/>
          <w:sz w:val="20"/>
          <w:lang w:eastAsia="en-GB"/>
        </w:rPr>
        <w:t>Activity Matrix</w:t>
      </w:r>
    </w:p>
    <w:p w14:paraId="331C35D4" w14:textId="77777777" w:rsidR="009A753C" w:rsidRPr="00F2213F" w:rsidRDefault="009A753C" w:rsidP="009A753C">
      <w:pPr>
        <w:rPr>
          <w:color w:val="000000" w:themeColor="text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51"/>
        <w:gridCol w:w="4651"/>
        <w:gridCol w:w="4648"/>
      </w:tblGrid>
      <w:tr w:rsidR="009A753C" w:rsidRPr="00F2213F" w14:paraId="070BD9BD" w14:textId="77777777" w:rsidTr="00214CB8">
        <w:trPr>
          <w:trHeight w:val="660"/>
          <w:tblHeader/>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49D690" w14:textId="77777777" w:rsidR="009A753C" w:rsidRPr="00F2213F" w:rsidRDefault="009A753C" w:rsidP="00214CB8">
            <w:pPr>
              <w:rPr>
                <w:b/>
                <w:bCs/>
                <w:color w:val="000000" w:themeColor="text1"/>
                <w:sz w:val="20"/>
                <w:lang w:eastAsia="en-GB"/>
              </w:rPr>
            </w:pPr>
            <w:r w:rsidRPr="00F2213F">
              <w:rPr>
                <w:b/>
                <w:bCs/>
                <w:color w:val="000000" w:themeColor="text1"/>
                <w:sz w:val="20"/>
                <w:lang w:eastAsia="en-GB"/>
              </w:rPr>
              <w:t>Activities</w:t>
            </w: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B93645" w14:textId="77777777" w:rsidR="009A753C" w:rsidRPr="00F2213F" w:rsidRDefault="009A753C" w:rsidP="00214CB8">
            <w:pPr>
              <w:jc w:val="center"/>
              <w:rPr>
                <w:b/>
                <w:bCs/>
                <w:color w:val="000000" w:themeColor="text1"/>
                <w:sz w:val="20"/>
                <w:lang w:eastAsia="en-GB"/>
              </w:rPr>
            </w:pP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63B462" w14:textId="77777777" w:rsidR="009A753C" w:rsidRPr="00F2213F" w:rsidRDefault="009A753C" w:rsidP="00214CB8">
            <w:pPr>
              <w:jc w:val="center"/>
              <w:rPr>
                <w:b/>
                <w:bCs/>
                <w:color w:val="000000" w:themeColor="text1"/>
                <w:sz w:val="20"/>
                <w:lang w:eastAsia="en-GB"/>
              </w:rPr>
            </w:pPr>
          </w:p>
        </w:tc>
      </w:tr>
      <w:tr w:rsidR="009A753C" w:rsidRPr="00F2213F" w14:paraId="1D376318" w14:textId="77777777" w:rsidTr="00214CB8">
        <w:trPr>
          <w:trHeight w:val="500"/>
        </w:trPr>
        <w:tc>
          <w:tcPr>
            <w:tcW w:w="1667" w:type="pct"/>
            <w:tcBorders>
              <w:top w:val="single" w:sz="4" w:space="0" w:color="auto"/>
              <w:right w:val="single" w:sz="4" w:space="0" w:color="auto"/>
            </w:tcBorders>
            <w:vAlign w:val="center"/>
            <w:hideMark/>
          </w:tcPr>
          <w:p w14:paraId="6CACDBBC"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Project start up</w:t>
            </w:r>
          </w:p>
        </w:tc>
        <w:tc>
          <w:tcPr>
            <w:tcW w:w="1667" w:type="pct"/>
            <w:vMerge w:val="restart"/>
            <w:tcBorders>
              <w:top w:val="single" w:sz="4" w:space="0" w:color="auto"/>
              <w:left w:val="single" w:sz="4" w:space="0" w:color="auto"/>
              <w:bottom w:val="nil"/>
              <w:right w:val="single" w:sz="4" w:space="0" w:color="auto"/>
            </w:tcBorders>
            <w:hideMark/>
          </w:tcPr>
          <w:p w14:paraId="3E769E5A" w14:textId="77777777" w:rsidR="009A753C" w:rsidRPr="00F2213F" w:rsidRDefault="009A753C" w:rsidP="00214CB8">
            <w:pPr>
              <w:jc w:val="center"/>
              <w:rPr>
                <w:b/>
                <w:bCs/>
                <w:color w:val="000000" w:themeColor="text1"/>
                <w:sz w:val="20"/>
                <w:lang w:eastAsia="en-GB"/>
              </w:rPr>
            </w:pPr>
            <w:r w:rsidRPr="00F2213F">
              <w:rPr>
                <w:b/>
                <w:bCs/>
                <w:color w:val="000000" w:themeColor="text1"/>
                <w:sz w:val="20"/>
                <w:lang w:eastAsia="en-GB"/>
              </w:rPr>
              <w:t>Means</w:t>
            </w:r>
          </w:p>
          <w:p w14:paraId="67A5C1A1" w14:textId="77777777" w:rsidR="009A753C" w:rsidRPr="00F2213F" w:rsidRDefault="009A753C" w:rsidP="00214CB8">
            <w:pPr>
              <w:rPr>
                <w:i/>
                <w:iCs/>
                <w:color w:val="000000" w:themeColor="text1"/>
                <w:sz w:val="20"/>
              </w:rPr>
            </w:pPr>
            <w:r w:rsidRPr="00F2213F">
              <w:rPr>
                <w:i/>
                <w:iCs/>
                <w:color w:val="000000" w:themeColor="text1"/>
                <w:sz w:val="20"/>
              </w:rPr>
              <w:t xml:space="preserve">What are the political, technical, financial, human and material resources required to implement these activities, e.g. staff, equipment, supplies, operational facilities, etc. </w:t>
            </w:r>
          </w:p>
          <w:p w14:paraId="5D021CA5" w14:textId="77777777" w:rsidR="009A753C" w:rsidRPr="00F2213F" w:rsidRDefault="009A753C" w:rsidP="00214CB8">
            <w:pPr>
              <w:rPr>
                <w:i/>
                <w:iCs/>
                <w:color w:val="000000" w:themeColor="text1"/>
                <w:sz w:val="21"/>
                <w:szCs w:val="21"/>
              </w:rPr>
            </w:pPr>
          </w:p>
          <w:p w14:paraId="3511DA02" w14:textId="77777777" w:rsidR="009A753C" w:rsidRPr="00F2213F" w:rsidRDefault="009A753C" w:rsidP="00214CB8">
            <w:pPr>
              <w:rPr>
                <w:i/>
                <w:iCs/>
                <w:color w:val="000000" w:themeColor="text1"/>
                <w:sz w:val="20"/>
                <w:lang w:eastAsia="en-IE"/>
              </w:rPr>
            </w:pPr>
            <w:r w:rsidRPr="00F2213F">
              <w:rPr>
                <w:i/>
                <w:iCs/>
                <w:color w:val="000000" w:themeColor="text1"/>
                <w:sz w:val="20"/>
                <w:lang w:eastAsia="en-IE"/>
              </w:rPr>
              <w:t>Personnel</w:t>
            </w:r>
          </w:p>
          <w:p w14:paraId="08E54011" w14:textId="77777777" w:rsidR="009A753C" w:rsidRPr="00F2213F" w:rsidRDefault="009A753C" w:rsidP="00214CB8">
            <w:pPr>
              <w:rPr>
                <w:color w:val="000000" w:themeColor="text1"/>
                <w:sz w:val="20"/>
                <w:lang w:eastAsia="en-IE"/>
              </w:rPr>
            </w:pPr>
            <w:r w:rsidRPr="00F2213F">
              <w:rPr>
                <w:color w:val="000000" w:themeColor="text1"/>
                <w:sz w:val="20"/>
                <w:lang w:eastAsia="en-IE"/>
              </w:rPr>
              <w:t>Full time technical &amp; support team</w:t>
            </w:r>
          </w:p>
          <w:p w14:paraId="5DD78EA3" w14:textId="77777777" w:rsidR="009A753C" w:rsidRPr="00F2213F" w:rsidRDefault="009A753C" w:rsidP="00214CB8">
            <w:pPr>
              <w:rPr>
                <w:color w:val="000000" w:themeColor="text1"/>
                <w:sz w:val="20"/>
                <w:lang w:eastAsia="en-IE"/>
              </w:rPr>
            </w:pPr>
            <w:r w:rsidRPr="00F2213F">
              <w:rPr>
                <w:color w:val="000000" w:themeColor="text1"/>
                <w:sz w:val="20"/>
                <w:lang w:eastAsia="en-IE"/>
              </w:rPr>
              <w:t>Part time technical advisers</w:t>
            </w:r>
          </w:p>
          <w:p w14:paraId="3187E17A" w14:textId="77777777" w:rsidR="009A753C" w:rsidRPr="00F2213F" w:rsidRDefault="009A753C" w:rsidP="00214CB8">
            <w:pPr>
              <w:rPr>
                <w:color w:val="000000" w:themeColor="text1"/>
                <w:sz w:val="20"/>
                <w:lang w:eastAsia="en-IE"/>
              </w:rPr>
            </w:pPr>
            <w:r w:rsidRPr="00F2213F">
              <w:rPr>
                <w:color w:val="000000" w:themeColor="text1"/>
                <w:sz w:val="20"/>
                <w:lang w:eastAsia="en-IE"/>
              </w:rPr>
              <w:t>Technical consultants</w:t>
            </w:r>
          </w:p>
          <w:p w14:paraId="44E1CC21" w14:textId="77777777" w:rsidR="009A753C" w:rsidRPr="00F2213F" w:rsidRDefault="009A753C" w:rsidP="00214CB8">
            <w:pPr>
              <w:rPr>
                <w:color w:val="000000" w:themeColor="text1"/>
                <w:sz w:val="20"/>
                <w:lang w:eastAsia="en-IE"/>
              </w:rPr>
            </w:pPr>
            <w:r w:rsidRPr="00F2213F">
              <w:rPr>
                <w:color w:val="000000" w:themeColor="text1"/>
                <w:sz w:val="20"/>
                <w:lang w:eastAsia="en-IE"/>
              </w:rPr>
              <w:t>Programme Management Board</w:t>
            </w:r>
          </w:p>
          <w:p w14:paraId="2560DA6B" w14:textId="77777777" w:rsidR="009A753C" w:rsidRPr="00F2213F" w:rsidRDefault="009A753C" w:rsidP="00214CB8">
            <w:pPr>
              <w:rPr>
                <w:color w:val="000000" w:themeColor="text1"/>
                <w:sz w:val="20"/>
                <w:lang w:eastAsia="en-IE"/>
              </w:rPr>
            </w:pPr>
          </w:p>
          <w:p w14:paraId="0FA7F8D7" w14:textId="77777777" w:rsidR="009A753C" w:rsidRPr="00F2213F" w:rsidRDefault="009A753C" w:rsidP="00214CB8">
            <w:pPr>
              <w:rPr>
                <w:i/>
                <w:iCs/>
                <w:color w:val="000000" w:themeColor="text1"/>
                <w:sz w:val="20"/>
                <w:lang w:val="en-IE" w:eastAsia="en-IE"/>
              </w:rPr>
            </w:pPr>
            <w:r w:rsidRPr="00F2213F">
              <w:rPr>
                <w:i/>
                <w:iCs/>
                <w:color w:val="000000" w:themeColor="text1"/>
                <w:sz w:val="20"/>
                <w:lang w:val="en-IE" w:eastAsia="en-IE"/>
              </w:rPr>
              <w:t>Consultants</w:t>
            </w:r>
          </w:p>
          <w:p w14:paraId="3A020BE6" w14:textId="77777777" w:rsidR="009A753C" w:rsidRPr="00F2213F" w:rsidRDefault="009A753C" w:rsidP="00214CB8">
            <w:pPr>
              <w:rPr>
                <w:color w:val="000000" w:themeColor="text1"/>
                <w:sz w:val="20"/>
                <w:lang w:eastAsia="en-IE"/>
              </w:rPr>
            </w:pPr>
            <w:r w:rsidRPr="00F2213F">
              <w:rPr>
                <w:color w:val="000000" w:themeColor="text1"/>
                <w:sz w:val="20"/>
                <w:lang w:eastAsia="en-IE"/>
              </w:rPr>
              <w:t>Consultants for evaluations</w:t>
            </w:r>
          </w:p>
          <w:p w14:paraId="7B8F4E71" w14:textId="77777777" w:rsidR="009A753C" w:rsidRPr="00F2213F" w:rsidRDefault="009A753C" w:rsidP="00214CB8">
            <w:pPr>
              <w:rPr>
                <w:color w:val="000000" w:themeColor="text1"/>
                <w:sz w:val="20"/>
                <w:lang w:eastAsia="en-IE"/>
              </w:rPr>
            </w:pPr>
            <w:r w:rsidRPr="00F2213F">
              <w:rPr>
                <w:color w:val="000000" w:themeColor="text1"/>
                <w:sz w:val="20"/>
                <w:lang w:eastAsia="en-IE"/>
              </w:rPr>
              <w:t>Legal Consultants</w:t>
            </w:r>
          </w:p>
          <w:p w14:paraId="43C147BA" w14:textId="77777777" w:rsidR="009A753C" w:rsidRPr="00F2213F" w:rsidRDefault="009A753C" w:rsidP="00214CB8">
            <w:pPr>
              <w:rPr>
                <w:color w:val="000000" w:themeColor="text1"/>
                <w:sz w:val="20"/>
                <w:lang w:eastAsia="en-IE"/>
              </w:rPr>
            </w:pPr>
            <w:r w:rsidRPr="00F2213F">
              <w:rPr>
                <w:color w:val="000000" w:themeColor="text1"/>
                <w:sz w:val="20"/>
                <w:lang w:eastAsia="en-IE"/>
              </w:rPr>
              <w:t>Auditors for Expenditure Verification</w:t>
            </w:r>
          </w:p>
          <w:p w14:paraId="68E97C04" w14:textId="77777777" w:rsidR="009A753C" w:rsidRPr="00F2213F" w:rsidRDefault="009A753C" w:rsidP="00214CB8">
            <w:pPr>
              <w:rPr>
                <w:i/>
                <w:iCs/>
                <w:color w:val="000000" w:themeColor="text1"/>
                <w:sz w:val="20"/>
                <w:lang w:val="en-IE" w:eastAsia="en-IE"/>
              </w:rPr>
            </w:pPr>
          </w:p>
          <w:p w14:paraId="6047904D" w14:textId="77777777" w:rsidR="009A753C" w:rsidRPr="00F2213F" w:rsidRDefault="009A753C" w:rsidP="00214CB8">
            <w:pPr>
              <w:rPr>
                <w:i/>
                <w:iCs/>
                <w:color w:val="000000" w:themeColor="text1"/>
                <w:sz w:val="20"/>
                <w:lang w:eastAsia="en-IE"/>
              </w:rPr>
            </w:pPr>
            <w:r w:rsidRPr="00F2213F">
              <w:rPr>
                <w:i/>
                <w:iCs/>
                <w:color w:val="000000" w:themeColor="text1"/>
                <w:sz w:val="20"/>
                <w:lang w:val="en-IE" w:eastAsia="en-IE"/>
              </w:rPr>
              <w:t>Equipment and Supplies</w:t>
            </w:r>
          </w:p>
          <w:p w14:paraId="3477B490" w14:textId="77777777" w:rsidR="009A753C" w:rsidRPr="00F2213F" w:rsidRDefault="009A753C" w:rsidP="00214CB8">
            <w:pPr>
              <w:rPr>
                <w:color w:val="000000" w:themeColor="text1"/>
                <w:sz w:val="21"/>
                <w:szCs w:val="21"/>
              </w:rPr>
            </w:pPr>
            <w:r w:rsidRPr="00F2213F">
              <w:rPr>
                <w:color w:val="000000" w:themeColor="text1"/>
                <w:sz w:val="21"/>
                <w:szCs w:val="21"/>
              </w:rPr>
              <w:t>2 4x4 vehicles</w:t>
            </w:r>
          </w:p>
          <w:p w14:paraId="6F56C2F0" w14:textId="77777777" w:rsidR="009A753C" w:rsidRPr="00F2213F" w:rsidRDefault="009A753C" w:rsidP="00214CB8">
            <w:pPr>
              <w:rPr>
                <w:color w:val="000000" w:themeColor="text1"/>
                <w:sz w:val="21"/>
                <w:szCs w:val="21"/>
              </w:rPr>
            </w:pPr>
            <w:r w:rsidRPr="00F2213F">
              <w:rPr>
                <w:color w:val="000000" w:themeColor="text1"/>
                <w:sz w:val="21"/>
                <w:szCs w:val="21"/>
              </w:rPr>
              <w:t>Office equipment – computers, printer, camera, desks and chairs</w:t>
            </w:r>
          </w:p>
          <w:p w14:paraId="6E816E17" w14:textId="77777777" w:rsidR="009A753C" w:rsidRPr="00F2213F" w:rsidRDefault="009A753C" w:rsidP="00214CB8">
            <w:pPr>
              <w:rPr>
                <w:color w:val="000000" w:themeColor="text1"/>
                <w:sz w:val="21"/>
                <w:szCs w:val="21"/>
              </w:rPr>
            </w:pPr>
          </w:p>
          <w:p w14:paraId="766960C3" w14:textId="77777777" w:rsidR="009A753C" w:rsidRPr="00F2213F" w:rsidRDefault="009A753C" w:rsidP="00214CB8">
            <w:pPr>
              <w:rPr>
                <w:color w:val="000000" w:themeColor="text1"/>
                <w:sz w:val="21"/>
                <w:szCs w:val="21"/>
              </w:rPr>
            </w:pPr>
            <w:r w:rsidRPr="00F2213F">
              <w:rPr>
                <w:i/>
                <w:iCs/>
                <w:color w:val="000000" w:themeColor="text1"/>
                <w:sz w:val="20"/>
              </w:rPr>
              <w:t>Operational facilities</w:t>
            </w:r>
          </w:p>
          <w:p w14:paraId="43B21525" w14:textId="77777777" w:rsidR="009A753C" w:rsidRPr="00F2213F" w:rsidRDefault="009A753C" w:rsidP="00214CB8">
            <w:pPr>
              <w:rPr>
                <w:color w:val="000000" w:themeColor="text1"/>
                <w:sz w:val="20"/>
                <w:lang w:eastAsia="en-GB"/>
              </w:rPr>
            </w:pPr>
            <w:r w:rsidRPr="00F2213F">
              <w:rPr>
                <w:color w:val="000000" w:themeColor="text1"/>
                <w:sz w:val="20"/>
                <w:lang w:eastAsia="en-GB"/>
              </w:rPr>
              <w:t>Space in SHA Zambia Country Office</w:t>
            </w:r>
          </w:p>
          <w:p w14:paraId="21E21378" w14:textId="77777777" w:rsidR="009A753C" w:rsidRPr="00F2213F" w:rsidRDefault="009A753C" w:rsidP="00214CB8">
            <w:pPr>
              <w:rPr>
                <w:color w:val="000000" w:themeColor="text1"/>
                <w:sz w:val="20"/>
                <w:lang w:eastAsia="en-GB"/>
              </w:rPr>
            </w:pPr>
            <w:r w:rsidRPr="00F2213F">
              <w:rPr>
                <w:color w:val="000000" w:themeColor="text1"/>
                <w:sz w:val="20"/>
                <w:lang w:eastAsia="en-GB"/>
              </w:rPr>
              <w:t>Travel and per diem budgets</w:t>
            </w:r>
          </w:p>
          <w:p w14:paraId="7911B310" w14:textId="77777777" w:rsidR="009A753C" w:rsidRPr="00F2213F" w:rsidRDefault="009A753C" w:rsidP="00214CB8">
            <w:pPr>
              <w:rPr>
                <w:color w:val="000000" w:themeColor="text1"/>
                <w:sz w:val="20"/>
                <w:lang w:eastAsia="en-GB"/>
              </w:rPr>
            </w:pPr>
            <w:r w:rsidRPr="00F2213F">
              <w:rPr>
                <w:color w:val="000000" w:themeColor="text1"/>
                <w:sz w:val="20"/>
                <w:lang w:eastAsia="en-GB"/>
              </w:rPr>
              <w:t>Programme Steering Committee and its Technical Committee</w:t>
            </w:r>
          </w:p>
          <w:p w14:paraId="370F702A" w14:textId="77777777" w:rsidR="009A753C" w:rsidRPr="00F2213F" w:rsidRDefault="009A753C" w:rsidP="00214CB8">
            <w:pPr>
              <w:rPr>
                <w:color w:val="000000" w:themeColor="text1"/>
                <w:sz w:val="20"/>
                <w:lang w:eastAsia="en-GB"/>
              </w:rPr>
            </w:pPr>
          </w:p>
        </w:tc>
        <w:tc>
          <w:tcPr>
            <w:tcW w:w="1666" w:type="pct"/>
            <w:vMerge w:val="restart"/>
            <w:tcBorders>
              <w:top w:val="single" w:sz="4" w:space="0" w:color="auto"/>
              <w:left w:val="single" w:sz="4" w:space="0" w:color="auto"/>
            </w:tcBorders>
            <w:hideMark/>
          </w:tcPr>
          <w:p w14:paraId="664EBEC4" w14:textId="77777777" w:rsidR="009A753C" w:rsidRPr="00F2213F" w:rsidRDefault="009A753C" w:rsidP="00214CB8">
            <w:pPr>
              <w:jc w:val="center"/>
              <w:rPr>
                <w:b/>
                <w:bCs/>
                <w:color w:val="000000" w:themeColor="text1"/>
                <w:sz w:val="20"/>
                <w:lang w:eastAsia="en-GB"/>
              </w:rPr>
            </w:pPr>
            <w:r w:rsidRPr="00F2213F">
              <w:rPr>
                <w:b/>
                <w:bCs/>
                <w:color w:val="000000" w:themeColor="text1"/>
                <w:sz w:val="20"/>
                <w:lang w:eastAsia="en-GB"/>
              </w:rPr>
              <w:t>Assumptions</w:t>
            </w:r>
          </w:p>
          <w:p w14:paraId="75F9584A" w14:textId="77777777" w:rsidR="009A753C" w:rsidRPr="00F2213F" w:rsidRDefault="009A753C" w:rsidP="00214CB8">
            <w:pPr>
              <w:jc w:val="center"/>
              <w:rPr>
                <w:color w:val="000000" w:themeColor="text1"/>
                <w:sz w:val="20"/>
                <w:lang w:eastAsia="en-GB"/>
              </w:rPr>
            </w:pPr>
          </w:p>
          <w:p w14:paraId="79BD0F15" w14:textId="77777777" w:rsidR="009A753C" w:rsidRPr="00F2213F" w:rsidRDefault="009A753C" w:rsidP="00214CB8">
            <w:pPr>
              <w:rPr>
                <w:color w:val="000000" w:themeColor="text1"/>
                <w:sz w:val="20"/>
                <w:lang w:eastAsia="en-GB"/>
              </w:rPr>
            </w:pPr>
            <w:r w:rsidRPr="00F2213F">
              <w:rPr>
                <w:color w:val="000000" w:themeColor="text1"/>
                <w:sz w:val="20"/>
                <w:lang w:eastAsia="en-GB"/>
              </w:rPr>
              <w:t>Stakeholders are willing to actively participate in the identification of suitable locations and scoping activities.</w:t>
            </w:r>
          </w:p>
          <w:p w14:paraId="64F890BD" w14:textId="77777777" w:rsidR="009A753C" w:rsidRPr="00F2213F" w:rsidRDefault="009A753C" w:rsidP="00214CB8">
            <w:pPr>
              <w:rPr>
                <w:color w:val="000000" w:themeColor="text1"/>
                <w:sz w:val="20"/>
                <w:lang w:eastAsia="en-GB"/>
              </w:rPr>
            </w:pPr>
          </w:p>
          <w:p w14:paraId="2ED58318" w14:textId="77777777" w:rsidR="009A753C" w:rsidRPr="00F2213F" w:rsidRDefault="009A753C" w:rsidP="00214CB8">
            <w:pPr>
              <w:rPr>
                <w:color w:val="000000" w:themeColor="text1"/>
                <w:sz w:val="20"/>
                <w:lang w:eastAsia="en-GB"/>
              </w:rPr>
            </w:pPr>
            <w:r w:rsidRPr="00F2213F">
              <w:rPr>
                <w:color w:val="000000" w:themeColor="text1"/>
                <w:sz w:val="20"/>
                <w:lang w:eastAsia="en-GB"/>
              </w:rPr>
              <w:t>Contracted BDSPs have expertise and accurately identify capacity and needs of start-ups and micro enterprises.</w:t>
            </w:r>
          </w:p>
          <w:p w14:paraId="501300CA" w14:textId="77777777" w:rsidR="009A753C" w:rsidRPr="00F2213F" w:rsidRDefault="009A753C" w:rsidP="00214CB8">
            <w:pPr>
              <w:rPr>
                <w:color w:val="000000" w:themeColor="text1"/>
                <w:sz w:val="20"/>
                <w:lang w:eastAsia="en-GB"/>
              </w:rPr>
            </w:pPr>
          </w:p>
          <w:p w14:paraId="041233C2" w14:textId="77777777" w:rsidR="009A753C" w:rsidRPr="00F2213F" w:rsidRDefault="009A753C" w:rsidP="00214CB8">
            <w:pPr>
              <w:rPr>
                <w:color w:val="000000" w:themeColor="text1"/>
                <w:sz w:val="20"/>
                <w:lang w:eastAsia="en-GB"/>
              </w:rPr>
            </w:pPr>
            <w:r w:rsidRPr="00F2213F">
              <w:rPr>
                <w:color w:val="000000" w:themeColor="text1"/>
                <w:sz w:val="20"/>
                <w:lang w:eastAsia="en-GB"/>
              </w:rPr>
              <w:t>Stakeholders and entrepreneurs (start-ups, MSMEs) are receptive to the development and adoption of green, circular, and digital economy value chains/clusters.</w:t>
            </w:r>
          </w:p>
          <w:p w14:paraId="49583BF1" w14:textId="77777777" w:rsidR="009A753C" w:rsidRPr="00F2213F" w:rsidRDefault="009A753C" w:rsidP="00214CB8">
            <w:pPr>
              <w:rPr>
                <w:color w:val="000000" w:themeColor="text1"/>
                <w:sz w:val="20"/>
                <w:lang w:eastAsia="en-GB"/>
              </w:rPr>
            </w:pPr>
          </w:p>
          <w:p w14:paraId="59007BAB" w14:textId="77777777" w:rsidR="009A753C" w:rsidRPr="00F2213F" w:rsidRDefault="009A753C" w:rsidP="00214CB8">
            <w:pPr>
              <w:rPr>
                <w:color w:val="000000" w:themeColor="text1"/>
                <w:sz w:val="20"/>
                <w:lang w:eastAsia="en-GB"/>
              </w:rPr>
            </w:pPr>
            <w:r w:rsidRPr="00F2213F">
              <w:rPr>
                <w:color w:val="000000" w:themeColor="text1"/>
                <w:sz w:val="20"/>
                <w:lang w:eastAsia="en-GB"/>
              </w:rPr>
              <w:t>Identified external technical assistance providers have the requisite expertise and availability for effective collaboration and service delivery.</w:t>
            </w:r>
          </w:p>
          <w:p w14:paraId="02953747" w14:textId="77777777" w:rsidR="009A753C" w:rsidRPr="00F2213F" w:rsidRDefault="009A753C" w:rsidP="00214CB8">
            <w:pPr>
              <w:rPr>
                <w:color w:val="000000" w:themeColor="text1"/>
                <w:sz w:val="20"/>
                <w:lang w:eastAsia="en-GB"/>
              </w:rPr>
            </w:pPr>
          </w:p>
          <w:p w14:paraId="31763E57" w14:textId="77777777" w:rsidR="009A753C" w:rsidRPr="00F2213F" w:rsidRDefault="009A753C" w:rsidP="00214CB8">
            <w:pPr>
              <w:rPr>
                <w:color w:val="000000" w:themeColor="text1"/>
                <w:sz w:val="20"/>
                <w:lang w:eastAsia="en-GB"/>
              </w:rPr>
            </w:pPr>
            <w:r w:rsidRPr="00F2213F">
              <w:rPr>
                <w:color w:val="000000" w:themeColor="text1"/>
                <w:sz w:val="20"/>
                <w:lang w:eastAsia="en-GB"/>
              </w:rPr>
              <w:t>The grant issuance process, including calls for proposals, attracts a diverse pool of start-ups and MSMEs with viable business plans.</w:t>
            </w:r>
          </w:p>
          <w:p w14:paraId="20425525" w14:textId="77777777" w:rsidR="009A753C" w:rsidRPr="00F2213F" w:rsidRDefault="009A753C" w:rsidP="00214CB8">
            <w:pPr>
              <w:rPr>
                <w:color w:val="000000" w:themeColor="text1"/>
                <w:sz w:val="20"/>
                <w:lang w:eastAsia="en-GB"/>
              </w:rPr>
            </w:pPr>
          </w:p>
          <w:p w14:paraId="2BC92623" w14:textId="77777777" w:rsidR="009A753C" w:rsidRPr="00F2213F" w:rsidRDefault="009A753C" w:rsidP="00214CB8">
            <w:pPr>
              <w:rPr>
                <w:color w:val="000000" w:themeColor="text1"/>
                <w:sz w:val="20"/>
                <w:lang w:eastAsia="en-GB"/>
              </w:rPr>
            </w:pPr>
            <w:r w:rsidRPr="00F2213F">
              <w:rPr>
                <w:color w:val="000000" w:themeColor="text1"/>
                <w:sz w:val="20"/>
                <w:lang w:eastAsia="en-GB"/>
              </w:rPr>
              <w:t>FSPs and investors are interested in developing and piloting new green, circular and digital financial products.</w:t>
            </w:r>
          </w:p>
          <w:p w14:paraId="5EC8E14F" w14:textId="77777777" w:rsidR="009A753C" w:rsidRPr="00F2213F" w:rsidRDefault="009A753C" w:rsidP="00214CB8">
            <w:pPr>
              <w:rPr>
                <w:color w:val="000000" w:themeColor="text1"/>
                <w:sz w:val="20"/>
                <w:lang w:eastAsia="en-GB"/>
              </w:rPr>
            </w:pPr>
          </w:p>
          <w:p w14:paraId="5B78704F" w14:textId="77777777" w:rsidR="009A753C" w:rsidRPr="00F2213F" w:rsidRDefault="009A753C" w:rsidP="00214CB8">
            <w:pPr>
              <w:rPr>
                <w:color w:val="000000" w:themeColor="text1"/>
                <w:sz w:val="20"/>
                <w:lang w:eastAsia="en-GB"/>
              </w:rPr>
            </w:pPr>
            <w:r w:rsidRPr="00F2213F">
              <w:rPr>
                <w:color w:val="000000" w:themeColor="text1"/>
                <w:sz w:val="20"/>
                <w:lang w:eastAsia="en-GB"/>
              </w:rPr>
              <w:t>Private-public stakeholders actively participate in learning events and policy dialogues.</w:t>
            </w:r>
          </w:p>
          <w:p w14:paraId="36797405" w14:textId="77777777" w:rsidR="009A753C" w:rsidRPr="00F2213F" w:rsidRDefault="009A753C" w:rsidP="00214CB8">
            <w:pPr>
              <w:rPr>
                <w:color w:val="000000" w:themeColor="text1"/>
                <w:sz w:val="20"/>
                <w:lang w:eastAsia="en-GB"/>
              </w:rPr>
            </w:pPr>
          </w:p>
          <w:p w14:paraId="6C64BE2D" w14:textId="77777777" w:rsidR="009A753C" w:rsidRPr="00F2213F" w:rsidRDefault="009A753C" w:rsidP="00214CB8">
            <w:pPr>
              <w:rPr>
                <w:color w:val="000000" w:themeColor="text1"/>
                <w:sz w:val="20"/>
                <w:lang w:eastAsia="en-GB"/>
              </w:rPr>
            </w:pPr>
            <w:r w:rsidRPr="00F2213F">
              <w:rPr>
                <w:color w:val="000000" w:themeColor="text1"/>
                <w:sz w:val="20"/>
                <w:lang w:eastAsia="en-GB"/>
              </w:rPr>
              <w:t>TVET providers are enthusiastic about adopting green, circular, and digital economy teaching modules, and students enrol in these new modules.</w:t>
            </w:r>
          </w:p>
          <w:p w14:paraId="6FE0C6CC" w14:textId="77777777" w:rsidR="009A753C" w:rsidRPr="00F2213F" w:rsidRDefault="009A753C" w:rsidP="00214CB8">
            <w:pPr>
              <w:rPr>
                <w:color w:val="000000" w:themeColor="text1"/>
                <w:sz w:val="20"/>
                <w:lang w:eastAsia="en-GB"/>
              </w:rPr>
            </w:pPr>
          </w:p>
        </w:tc>
      </w:tr>
      <w:tr w:rsidR="009A753C" w:rsidRPr="00F2213F" w14:paraId="6B88764D" w14:textId="77777777" w:rsidTr="00214CB8">
        <w:trPr>
          <w:trHeight w:val="500"/>
        </w:trPr>
        <w:tc>
          <w:tcPr>
            <w:tcW w:w="1667" w:type="pct"/>
            <w:tcBorders>
              <w:right w:val="single" w:sz="4" w:space="0" w:color="auto"/>
            </w:tcBorders>
            <w:vAlign w:val="center"/>
            <w:hideMark/>
          </w:tcPr>
          <w:p w14:paraId="70E1413E"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0.1. Recruit project team </w:t>
            </w:r>
          </w:p>
        </w:tc>
        <w:tc>
          <w:tcPr>
            <w:tcW w:w="1667" w:type="pct"/>
            <w:vMerge/>
            <w:tcBorders>
              <w:right w:val="single" w:sz="4" w:space="0" w:color="auto"/>
            </w:tcBorders>
            <w:vAlign w:val="center"/>
            <w:hideMark/>
          </w:tcPr>
          <w:p w14:paraId="0C90EA34"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2E7577FA" w14:textId="77777777" w:rsidR="009A753C" w:rsidRPr="00F2213F" w:rsidRDefault="009A753C" w:rsidP="00214CB8">
            <w:pPr>
              <w:rPr>
                <w:b/>
                <w:bCs/>
                <w:color w:val="000000" w:themeColor="text1"/>
                <w:sz w:val="20"/>
                <w:lang w:eastAsia="en-GB"/>
              </w:rPr>
            </w:pPr>
          </w:p>
        </w:tc>
      </w:tr>
      <w:tr w:rsidR="009A753C" w:rsidRPr="00F2213F" w14:paraId="09D8D846" w14:textId="77777777" w:rsidTr="00214CB8">
        <w:trPr>
          <w:trHeight w:val="500"/>
        </w:trPr>
        <w:tc>
          <w:tcPr>
            <w:tcW w:w="1667" w:type="pct"/>
            <w:tcBorders>
              <w:right w:val="single" w:sz="4" w:space="0" w:color="auto"/>
            </w:tcBorders>
            <w:vAlign w:val="center"/>
            <w:hideMark/>
          </w:tcPr>
          <w:p w14:paraId="6D2F68EC" w14:textId="77777777" w:rsidR="009A753C" w:rsidRPr="00F2213F" w:rsidRDefault="009A753C" w:rsidP="00214CB8">
            <w:pPr>
              <w:rPr>
                <w:color w:val="000000" w:themeColor="text1"/>
                <w:sz w:val="20"/>
                <w:lang w:eastAsia="en-GB"/>
              </w:rPr>
            </w:pPr>
            <w:r w:rsidRPr="00F2213F">
              <w:rPr>
                <w:color w:val="000000" w:themeColor="text1"/>
                <w:sz w:val="20"/>
                <w:lang w:eastAsia="en-GB"/>
              </w:rPr>
              <w:t>0.2. Logistics and procurement</w:t>
            </w:r>
          </w:p>
        </w:tc>
        <w:tc>
          <w:tcPr>
            <w:tcW w:w="1667" w:type="pct"/>
            <w:vMerge/>
            <w:tcBorders>
              <w:right w:val="single" w:sz="4" w:space="0" w:color="auto"/>
            </w:tcBorders>
            <w:vAlign w:val="center"/>
            <w:hideMark/>
          </w:tcPr>
          <w:p w14:paraId="4ED916CD"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794C940E" w14:textId="77777777" w:rsidR="009A753C" w:rsidRPr="00F2213F" w:rsidRDefault="009A753C" w:rsidP="00214CB8">
            <w:pPr>
              <w:rPr>
                <w:b/>
                <w:bCs/>
                <w:color w:val="000000" w:themeColor="text1"/>
                <w:sz w:val="20"/>
                <w:lang w:eastAsia="en-GB"/>
              </w:rPr>
            </w:pPr>
          </w:p>
        </w:tc>
      </w:tr>
      <w:tr w:rsidR="009A753C" w:rsidRPr="00F2213F" w14:paraId="6D916063" w14:textId="77777777" w:rsidTr="00214CB8">
        <w:trPr>
          <w:trHeight w:val="500"/>
        </w:trPr>
        <w:tc>
          <w:tcPr>
            <w:tcW w:w="1667" w:type="pct"/>
            <w:tcBorders>
              <w:right w:val="single" w:sz="4" w:space="0" w:color="auto"/>
            </w:tcBorders>
            <w:vAlign w:val="center"/>
            <w:hideMark/>
          </w:tcPr>
          <w:p w14:paraId="5EED9A38" w14:textId="77777777" w:rsidR="009A753C" w:rsidRPr="00F2213F" w:rsidRDefault="009A753C" w:rsidP="00214CB8">
            <w:pPr>
              <w:rPr>
                <w:color w:val="000000" w:themeColor="text1"/>
                <w:sz w:val="20"/>
                <w:lang w:eastAsia="en-GB"/>
              </w:rPr>
            </w:pPr>
            <w:r w:rsidRPr="00F2213F">
              <w:rPr>
                <w:color w:val="000000" w:themeColor="text1"/>
                <w:sz w:val="20"/>
                <w:lang w:eastAsia="en-GB"/>
              </w:rPr>
              <w:t>0.3. Inception meeting</w:t>
            </w:r>
          </w:p>
        </w:tc>
        <w:tc>
          <w:tcPr>
            <w:tcW w:w="1667" w:type="pct"/>
            <w:vMerge/>
            <w:tcBorders>
              <w:right w:val="single" w:sz="4" w:space="0" w:color="auto"/>
            </w:tcBorders>
            <w:vAlign w:val="center"/>
            <w:hideMark/>
          </w:tcPr>
          <w:p w14:paraId="5C42374D"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73506075" w14:textId="77777777" w:rsidR="009A753C" w:rsidRPr="00F2213F" w:rsidRDefault="009A753C" w:rsidP="00214CB8">
            <w:pPr>
              <w:rPr>
                <w:b/>
                <w:bCs/>
                <w:color w:val="000000" w:themeColor="text1"/>
                <w:sz w:val="20"/>
                <w:lang w:eastAsia="en-GB"/>
              </w:rPr>
            </w:pPr>
          </w:p>
        </w:tc>
      </w:tr>
      <w:tr w:rsidR="009A753C" w:rsidRPr="00F2213F" w14:paraId="0CD78546" w14:textId="77777777" w:rsidTr="00214CB8">
        <w:trPr>
          <w:trHeight w:val="500"/>
        </w:trPr>
        <w:tc>
          <w:tcPr>
            <w:tcW w:w="1667" w:type="pct"/>
            <w:tcBorders>
              <w:right w:val="single" w:sz="4" w:space="0" w:color="auto"/>
            </w:tcBorders>
            <w:vAlign w:val="center"/>
            <w:hideMark/>
          </w:tcPr>
          <w:p w14:paraId="7D2BA7C7" w14:textId="77777777" w:rsidR="009A753C" w:rsidRPr="00F2213F" w:rsidRDefault="009A753C" w:rsidP="00214CB8">
            <w:pPr>
              <w:rPr>
                <w:color w:val="000000" w:themeColor="text1"/>
                <w:sz w:val="20"/>
                <w:lang w:eastAsia="en-GB"/>
              </w:rPr>
            </w:pPr>
            <w:r w:rsidRPr="00F2213F">
              <w:rPr>
                <w:color w:val="000000" w:themeColor="text1"/>
                <w:sz w:val="20"/>
                <w:lang w:eastAsia="en-GB"/>
              </w:rPr>
              <w:t>0.4. Project staff training</w:t>
            </w:r>
          </w:p>
        </w:tc>
        <w:tc>
          <w:tcPr>
            <w:tcW w:w="1667" w:type="pct"/>
            <w:vMerge/>
            <w:tcBorders>
              <w:right w:val="single" w:sz="4" w:space="0" w:color="auto"/>
            </w:tcBorders>
            <w:vAlign w:val="center"/>
            <w:hideMark/>
          </w:tcPr>
          <w:p w14:paraId="0ED07A34"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6EECC892" w14:textId="77777777" w:rsidR="009A753C" w:rsidRPr="00F2213F" w:rsidRDefault="009A753C" w:rsidP="00214CB8">
            <w:pPr>
              <w:rPr>
                <w:b/>
                <w:bCs/>
                <w:color w:val="000000" w:themeColor="text1"/>
                <w:sz w:val="20"/>
                <w:lang w:eastAsia="en-GB"/>
              </w:rPr>
            </w:pPr>
          </w:p>
        </w:tc>
      </w:tr>
      <w:tr w:rsidR="009A753C" w:rsidRPr="00F2213F" w14:paraId="128F562B" w14:textId="77777777" w:rsidTr="00214CB8">
        <w:trPr>
          <w:trHeight w:val="500"/>
        </w:trPr>
        <w:tc>
          <w:tcPr>
            <w:tcW w:w="1667" w:type="pct"/>
            <w:tcBorders>
              <w:right w:val="single" w:sz="4" w:space="0" w:color="auto"/>
            </w:tcBorders>
            <w:vAlign w:val="center"/>
            <w:hideMark/>
          </w:tcPr>
          <w:p w14:paraId="43208833" w14:textId="77777777" w:rsidR="009A753C" w:rsidRPr="00F2213F" w:rsidRDefault="009A753C" w:rsidP="00214CB8">
            <w:pPr>
              <w:rPr>
                <w:color w:val="000000" w:themeColor="text1"/>
                <w:sz w:val="20"/>
                <w:lang w:eastAsia="en-GB"/>
              </w:rPr>
            </w:pPr>
            <w:r w:rsidRPr="00F2213F">
              <w:rPr>
                <w:color w:val="000000" w:themeColor="text1"/>
                <w:sz w:val="20"/>
                <w:lang w:eastAsia="en-GB"/>
              </w:rPr>
              <w:t>0.5. Project launch</w:t>
            </w:r>
          </w:p>
        </w:tc>
        <w:tc>
          <w:tcPr>
            <w:tcW w:w="1667" w:type="pct"/>
            <w:vMerge/>
            <w:tcBorders>
              <w:right w:val="single" w:sz="4" w:space="0" w:color="auto"/>
            </w:tcBorders>
            <w:vAlign w:val="center"/>
            <w:hideMark/>
          </w:tcPr>
          <w:p w14:paraId="5215E817"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2D7592D9" w14:textId="77777777" w:rsidR="009A753C" w:rsidRPr="00F2213F" w:rsidRDefault="009A753C" w:rsidP="00214CB8">
            <w:pPr>
              <w:rPr>
                <w:b/>
                <w:bCs/>
                <w:color w:val="000000" w:themeColor="text1"/>
                <w:sz w:val="20"/>
                <w:lang w:eastAsia="en-GB"/>
              </w:rPr>
            </w:pPr>
          </w:p>
        </w:tc>
      </w:tr>
      <w:tr w:rsidR="009A753C" w:rsidRPr="00F2213F" w14:paraId="20D62AFB" w14:textId="77777777" w:rsidTr="00214CB8">
        <w:trPr>
          <w:trHeight w:val="500"/>
        </w:trPr>
        <w:tc>
          <w:tcPr>
            <w:tcW w:w="1667" w:type="pct"/>
            <w:tcBorders>
              <w:right w:val="single" w:sz="4" w:space="0" w:color="auto"/>
            </w:tcBorders>
            <w:vAlign w:val="center"/>
            <w:hideMark/>
          </w:tcPr>
          <w:p w14:paraId="1FE9601A" w14:textId="77777777" w:rsidR="009A753C" w:rsidRPr="00F2213F" w:rsidRDefault="009A753C" w:rsidP="00214CB8">
            <w:pPr>
              <w:rPr>
                <w:color w:val="000000" w:themeColor="text1"/>
                <w:sz w:val="20"/>
                <w:lang w:eastAsia="en-GB"/>
              </w:rPr>
            </w:pPr>
            <w:r w:rsidRPr="00F2213F">
              <w:rPr>
                <w:color w:val="000000" w:themeColor="text1"/>
                <w:sz w:val="20"/>
                <w:lang w:eastAsia="en-GB"/>
              </w:rPr>
              <w:t>0.6. Programme Steering Committee (inc. TWG) establishment and meetings</w:t>
            </w:r>
          </w:p>
        </w:tc>
        <w:tc>
          <w:tcPr>
            <w:tcW w:w="1667" w:type="pct"/>
            <w:vMerge/>
            <w:tcBorders>
              <w:right w:val="single" w:sz="4" w:space="0" w:color="auto"/>
            </w:tcBorders>
            <w:vAlign w:val="center"/>
            <w:hideMark/>
          </w:tcPr>
          <w:p w14:paraId="57188CED"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63E344E0" w14:textId="77777777" w:rsidR="009A753C" w:rsidRPr="00F2213F" w:rsidRDefault="009A753C" w:rsidP="00214CB8">
            <w:pPr>
              <w:rPr>
                <w:b/>
                <w:bCs/>
                <w:color w:val="000000" w:themeColor="text1"/>
                <w:sz w:val="20"/>
                <w:lang w:eastAsia="en-GB"/>
              </w:rPr>
            </w:pPr>
          </w:p>
        </w:tc>
      </w:tr>
      <w:tr w:rsidR="009A753C" w:rsidRPr="00F2213F" w14:paraId="50B70088" w14:textId="77777777" w:rsidTr="00214CB8">
        <w:trPr>
          <w:trHeight w:val="500"/>
        </w:trPr>
        <w:tc>
          <w:tcPr>
            <w:tcW w:w="1667" w:type="pct"/>
            <w:tcBorders>
              <w:right w:val="single" w:sz="4" w:space="0" w:color="auto"/>
            </w:tcBorders>
            <w:vAlign w:val="center"/>
            <w:hideMark/>
          </w:tcPr>
          <w:p w14:paraId="533B9E59" w14:textId="77777777" w:rsidR="009A753C" w:rsidRPr="00F2213F" w:rsidRDefault="009A753C" w:rsidP="00214CB8">
            <w:pPr>
              <w:rPr>
                <w:color w:val="000000" w:themeColor="text1"/>
                <w:sz w:val="20"/>
                <w:lang w:eastAsia="en-GB"/>
              </w:rPr>
            </w:pPr>
            <w:r w:rsidRPr="00F2213F">
              <w:rPr>
                <w:color w:val="000000" w:themeColor="text1"/>
                <w:sz w:val="20"/>
                <w:lang w:eastAsia="en-GB"/>
              </w:rPr>
              <w:t>0.7. M&amp;E plan development and sign off</w:t>
            </w:r>
          </w:p>
        </w:tc>
        <w:tc>
          <w:tcPr>
            <w:tcW w:w="1667" w:type="pct"/>
            <w:vMerge/>
            <w:tcBorders>
              <w:right w:val="single" w:sz="4" w:space="0" w:color="auto"/>
            </w:tcBorders>
            <w:vAlign w:val="center"/>
            <w:hideMark/>
          </w:tcPr>
          <w:p w14:paraId="31369AE5"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16E0FF83" w14:textId="77777777" w:rsidR="009A753C" w:rsidRPr="00F2213F" w:rsidRDefault="009A753C" w:rsidP="00214CB8">
            <w:pPr>
              <w:rPr>
                <w:b/>
                <w:bCs/>
                <w:color w:val="000000" w:themeColor="text1"/>
                <w:sz w:val="20"/>
                <w:lang w:eastAsia="en-GB"/>
              </w:rPr>
            </w:pPr>
          </w:p>
        </w:tc>
      </w:tr>
      <w:tr w:rsidR="009A753C" w:rsidRPr="00F2213F" w14:paraId="3322BC46" w14:textId="77777777" w:rsidTr="00214CB8">
        <w:trPr>
          <w:trHeight w:val="500"/>
        </w:trPr>
        <w:tc>
          <w:tcPr>
            <w:tcW w:w="1667" w:type="pct"/>
            <w:tcBorders>
              <w:right w:val="single" w:sz="4" w:space="0" w:color="auto"/>
            </w:tcBorders>
            <w:vAlign w:val="center"/>
            <w:hideMark/>
          </w:tcPr>
          <w:p w14:paraId="179C473D" w14:textId="77777777" w:rsidR="009A753C" w:rsidRPr="00F2213F" w:rsidRDefault="009A753C" w:rsidP="00214CB8">
            <w:pPr>
              <w:rPr>
                <w:color w:val="000000" w:themeColor="text1"/>
                <w:sz w:val="20"/>
                <w:lang w:eastAsia="en-GB"/>
              </w:rPr>
            </w:pPr>
            <w:r w:rsidRPr="00F2213F">
              <w:rPr>
                <w:color w:val="000000" w:themeColor="text1"/>
                <w:sz w:val="20"/>
                <w:lang w:eastAsia="en-GB"/>
              </w:rPr>
              <w:t>0.8. Baseline</w:t>
            </w:r>
          </w:p>
        </w:tc>
        <w:tc>
          <w:tcPr>
            <w:tcW w:w="1667" w:type="pct"/>
            <w:vMerge/>
            <w:tcBorders>
              <w:right w:val="single" w:sz="4" w:space="0" w:color="auto"/>
            </w:tcBorders>
            <w:vAlign w:val="center"/>
            <w:hideMark/>
          </w:tcPr>
          <w:p w14:paraId="61659CDD"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123FC2D9" w14:textId="77777777" w:rsidR="009A753C" w:rsidRPr="00F2213F" w:rsidRDefault="009A753C" w:rsidP="00214CB8">
            <w:pPr>
              <w:rPr>
                <w:b/>
                <w:bCs/>
                <w:color w:val="000000" w:themeColor="text1"/>
                <w:sz w:val="20"/>
                <w:lang w:eastAsia="en-GB"/>
              </w:rPr>
            </w:pPr>
          </w:p>
        </w:tc>
      </w:tr>
      <w:tr w:rsidR="009A753C" w:rsidRPr="00F2213F" w14:paraId="20558E59" w14:textId="77777777" w:rsidTr="00214CB8">
        <w:trPr>
          <w:trHeight w:val="500"/>
        </w:trPr>
        <w:tc>
          <w:tcPr>
            <w:tcW w:w="1667" w:type="pct"/>
            <w:tcBorders>
              <w:right w:val="single" w:sz="4" w:space="0" w:color="auto"/>
            </w:tcBorders>
            <w:vAlign w:val="center"/>
            <w:hideMark/>
          </w:tcPr>
          <w:p w14:paraId="569DA12B" w14:textId="77777777" w:rsidR="009A753C" w:rsidRPr="00F2213F" w:rsidRDefault="009A753C" w:rsidP="00214CB8">
            <w:pPr>
              <w:rPr>
                <w:color w:val="000000" w:themeColor="text1"/>
                <w:sz w:val="20"/>
                <w:lang w:eastAsia="en-GB"/>
              </w:rPr>
            </w:pPr>
            <w:r w:rsidRPr="00F2213F">
              <w:rPr>
                <w:color w:val="000000" w:themeColor="text1"/>
                <w:sz w:val="20"/>
                <w:lang w:eastAsia="en-GB"/>
              </w:rPr>
              <w:t>0.9. Information provision plan including website set up</w:t>
            </w:r>
          </w:p>
        </w:tc>
        <w:tc>
          <w:tcPr>
            <w:tcW w:w="1667" w:type="pct"/>
            <w:vMerge/>
            <w:tcBorders>
              <w:right w:val="single" w:sz="4" w:space="0" w:color="auto"/>
            </w:tcBorders>
            <w:vAlign w:val="center"/>
            <w:hideMark/>
          </w:tcPr>
          <w:p w14:paraId="783CE35B"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52EB1A1C" w14:textId="77777777" w:rsidR="009A753C" w:rsidRPr="00F2213F" w:rsidRDefault="009A753C" w:rsidP="00214CB8">
            <w:pPr>
              <w:rPr>
                <w:b/>
                <w:bCs/>
                <w:color w:val="000000" w:themeColor="text1"/>
                <w:sz w:val="20"/>
                <w:lang w:eastAsia="en-GB"/>
              </w:rPr>
            </w:pPr>
          </w:p>
        </w:tc>
      </w:tr>
      <w:tr w:rsidR="009A753C" w:rsidRPr="00F2213F" w14:paraId="1AAACA97" w14:textId="77777777" w:rsidTr="00214CB8">
        <w:trPr>
          <w:trHeight w:val="500"/>
        </w:trPr>
        <w:tc>
          <w:tcPr>
            <w:tcW w:w="1667" w:type="pct"/>
            <w:tcBorders>
              <w:right w:val="single" w:sz="4" w:space="0" w:color="auto"/>
            </w:tcBorders>
            <w:vAlign w:val="center"/>
            <w:hideMark/>
          </w:tcPr>
          <w:p w14:paraId="0D42AE92" w14:textId="77777777" w:rsidR="009A753C" w:rsidRPr="00F2213F" w:rsidRDefault="009A753C" w:rsidP="00214CB8">
            <w:pPr>
              <w:rPr>
                <w:color w:val="000000" w:themeColor="text1"/>
                <w:sz w:val="20"/>
                <w:lang w:eastAsia="en-GB"/>
              </w:rPr>
            </w:pPr>
            <w:r w:rsidRPr="00F2213F">
              <w:rPr>
                <w:color w:val="000000" w:themeColor="text1"/>
                <w:sz w:val="20"/>
                <w:lang w:eastAsia="en-GB"/>
              </w:rPr>
              <w:t>0.10. PMU SoPs</w:t>
            </w:r>
          </w:p>
        </w:tc>
        <w:tc>
          <w:tcPr>
            <w:tcW w:w="1667" w:type="pct"/>
            <w:vMerge/>
            <w:tcBorders>
              <w:right w:val="single" w:sz="4" w:space="0" w:color="auto"/>
            </w:tcBorders>
            <w:vAlign w:val="center"/>
            <w:hideMark/>
          </w:tcPr>
          <w:p w14:paraId="522FE065"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11C055DD" w14:textId="77777777" w:rsidR="009A753C" w:rsidRPr="00F2213F" w:rsidRDefault="009A753C" w:rsidP="00214CB8">
            <w:pPr>
              <w:rPr>
                <w:b/>
                <w:bCs/>
                <w:color w:val="000000" w:themeColor="text1"/>
                <w:sz w:val="20"/>
                <w:lang w:eastAsia="en-GB"/>
              </w:rPr>
            </w:pPr>
          </w:p>
        </w:tc>
      </w:tr>
      <w:tr w:rsidR="009A753C" w:rsidRPr="00F2213F" w14:paraId="51483C63" w14:textId="77777777" w:rsidTr="00214CB8">
        <w:trPr>
          <w:trHeight w:val="500"/>
        </w:trPr>
        <w:tc>
          <w:tcPr>
            <w:tcW w:w="1667" w:type="pct"/>
            <w:tcBorders>
              <w:right w:val="single" w:sz="4" w:space="0" w:color="auto"/>
            </w:tcBorders>
            <w:vAlign w:val="center"/>
            <w:hideMark/>
          </w:tcPr>
          <w:p w14:paraId="252ACB63"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OP1.1. (Start-ups and micro-enterprises): 550 start-ups and micro-enterprises use technical assistance and grant support for business development</w:t>
            </w:r>
          </w:p>
        </w:tc>
        <w:tc>
          <w:tcPr>
            <w:tcW w:w="1667" w:type="pct"/>
            <w:vMerge/>
            <w:tcBorders>
              <w:right w:val="single" w:sz="4" w:space="0" w:color="auto"/>
            </w:tcBorders>
            <w:vAlign w:val="center"/>
            <w:hideMark/>
          </w:tcPr>
          <w:p w14:paraId="75C96835"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4AAFB1E3" w14:textId="77777777" w:rsidR="009A753C" w:rsidRPr="00F2213F" w:rsidRDefault="009A753C" w:rsidP="00214CB8">
            <w:pPr>
              <w:rPr>
                <w:b/>
                <w:bCs/>
                <w:color w:val="000000" w:themeColor="text1"/>
                <w:sz w:val="20"/>
                <w:lang w:eastAsia="en-GB"/>
              </w:rPr>
            </w:pPr>
          </w:p>
        </w:tc>
      </w:tr>
      <w:tr w:rsidR="009A753C" w:rsidRPr="00F2213F" w14:paraId="4DABDB82" w14:textId="77777777" w:rsidTr="00214CB8">
        <w:trPr>
          <w:trHeight w:val="500"/>
        </w:trPr>
        <w:tc>
          <w:tcPr>
            <w:tcW w:w="1667" w:type="pct"/>
            <w:tcBorders>
              <w:right w:val="single" w:sz="4" w:space="0" w:color="auto"/>
            </w:tcBorders>
            <w:vAlign w:val="center"/>
            <w:hideMark/>
          </w:tcPr>
          <w:p w14:paraId="5B418385" w14:textId="77777777" w:rsidR="009A753C" w:rsidRPr="00F2213F" w:rsidRDefault="009A753C" w:rsidP="00214CB8">
            <w:pPr>
              <w:rPr>
                <w:color w:val="000000" w:themeColor="text1"/>
                <w:sz w:val="20"/>
                <w:lang w:eastAsia="en-GB"/>
              </w:rPr>
            </w:pPr>
            <w:r w:rsidRPr="00F2213F">
              <w:rPr>
                <w:color w:val="000000" w:themeColor="text1"/>
                <w:sz w:val="20"/>
                <w:lang w:eastAsia="en-GB"/>
              </w:rPr>
              <w:t>1.1.1. Identify suitable locations/regions/sectors to target through this action and include gender/youth assessment to identify constraints/opportunities for women and youths</w:t>
            </w:r>
          </w:p>
        </w:tc>
        <w:tc>
          <w:tcPr>
            <w:tcW w:w="1667" w:type="pct"/>
            <w:vMerge/>
            <w:tcBorders>
              <w:right w:val="single" w:sz="4" w:space="0" w:color="auto"/>
            </w:tcBorders>
            <w:vAlign w:val="center"/>
            <w:hideMark/>
          </w:tcPr>
          <w:p w14:paraId="7B5F722F"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17AC725B" w14:textId="77777777" w:rsidR="009A753C" w:rsidRPr="00F2213F" w:rsidRDefault="009A753C" w:rsidP="00214CB8">
            <w:pPr>
              <w:rPr>
                <w:b/>
                <w:bCs/>
                <w:color w:val="000000" w:themeColor="text1"/>
                <w:sz w:val="20"/>
                <w:lang w:eastAsia="en-GB"/>
              </w:rPr>
            </w:pPr>
          </w:p>
        </w:tc>
      </w:tr>
      <w:tr w:rsidR="009A753C" w:rsidRPr="00F2213F" w14:paraId="23D27A63" w14:textId="77777777" w:rsidTr="00214CB8">
        <w:trPr>
          <w:trHeight w:val="500"/>
        </w:trPr>
        <w:tc>
          <w:tcPr>
            <w:tcW w:w="1667" w:type="pct"/>
            <w:tcBorders>
              <w:bottom w:val="single" w:sz="4" w:space="0" w:color="auto"/>
              <w:right w:val="single" w:sz="4" w:space="0" w:color="auto"/>
            </w:tcBorders>
            <w:vAlign w:val="center"/>
            <w:hideMark/>
          </w:tcPr>
          <w:p w14:paraId="5510EAE2" w14:textId="77777777" w:rsidR="009A753C" w:rsidRPr="00F2213F" w:rsidRDefault="009A753C" w:rsidP="00214CB8">
            <w:pPr>
              <w:rPr>
                <w:color w:val="000000" w:themeColor="text1"/>
                <w:sz w:val="20"/>
                <w:lang w:eastAsia="en-GB"/>
              </w:rPr>
            </w:pPr>
            <w:r w:rsidRPr="00F2213F">
              <w:rPr>
                <w:color w:val="000000" w:themeColor="text1"/>
                <w:sz w:val="20"/>
                <w:lang w:eastAsia="en-GB"/>
              </w:rPr>
              <w:t>1.1.2. Identify and scope suitable start-ups and micro-enterprises (with consideration to potential clusters/sector and industry wide coordination)</w:t>
            </w:r>
          </w:p>
        </w:tc>
        <w:tc>
          <w:tcPr>
            <w:tcW w:w="1667" w:type="pct"/>
            <w:vMerge/>
            <w:tcBorders>
              <w:right w:val="single" w:sz="4" w:space="0" w:color="auto"/>
            </w:tcBorders>
            <w:vAlign w:val="center"/>
            <w:hideMark/>
          </w:tcPr>
          <w:p w14:paraId="050FC615"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492ECF46" w14:textId="77777777" w:rsidR="009A753C" w:rsidRPr="00F2213F" w:rsidRDefault="009A753C" w:rsidP="00214CB8">
            <w:pPr>
              <w:rPr>
                <w:b/>
                <w:bCs/>
                <w:color w:val="000000" w:themeColor="text1"/>
                <w:sz w:val="20"/>
                <w:lang w:eastAsia="en-GB"/>
              </w:rPr>
            </w:pPr>
          </w:p>
        </w:tc>
      </w:tr>
      <w:tr w:rsidR="009A753C" w:rsidRPr="00F2213F" w14:paraId="7AC699CD" w14:textId="77777777" w:rsidTr="00214CB8">
        <w:trPr>
          <w:trHeight w:val="500"/>
        </w:trPr>
        <w:tc>
          <w:tcPr>
            <w:tcW w:w="1667" w:type="pct"/>
            <w:tcBorders>
              <w:top w:val="single" w:sz="4" w:space="0" w:color="auto"/>
              <w:bottom w:val="nil"/>
              <w:right w:val="single" w:sz="4" w:space="0" w:color="auto"/>
            </w:tcBorders>
            <w:vAlign w:val="center"/>
            <w:hideMark/>
          </w:tcPr>
          <w:p w14:paraId="5CADE627" w14:textId="77777777" w:rsidR="009A753C" w:rsidRPr="00F2213F" w:rsidRDefault="009A753C" w:rsidP="00214CB8">
            <w:pPr>
              <w:rPr>
                <w:color w:val="000000" w:themeColor="text1"/>
                <w:sz w:val="20"/>
                <w:lang w:eastAsia="en-GB"/>
              </w:rPr>
            </w:pPr>
            <w:r w:rsidRPr="00F2213F">
              <w:rPr>
                <w:color w:val="000000" w:themeColor="text1"/>
                <w:sz w:val="20"/>
                <w:lang w:eastAsia="en-GB"/>
              </w:rPr>
              <w:t>1.1.3. Conduct capacity/needs assessment of start-ups and micro-enterprises (by contracted BDSPs)</w:t>
            </w:r>
          </w:p>
        </w:tc>
        <w:tc>
          <w:tcPr>
            <w:tcW w:w="1667" w:type="pct"/>
            <w:vMerge/>
            <w:tcBorders>
              <w:right w:val="single" w:sz="4" w:space="0" w:color="auto"/>
            </w:tcBorders>
            <w:vAlign w:val="center"/>
            <w:hideMark/>
          </w:tcPr>
          <w:p w14:paraId="16635D3B"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7CFC6BF5" w14:textId="77777777" w:rsidR="009A753C" w:rsidRPr="00F2213F" w:rsidRDefault="009A753C" w:rsidP="00214CB8">
            <w:pPr>
              <w:rPr>
                <w:b/>
                <w:bCs/>
                <w:color w:val="000000" w:themeColor="text1"/>
                <w:sz w:val="20"/>
                <w:lang w:eastAsia="en-GB"/>
              </w:rPr>
            </w:pPr>
          </w:p>
        </w:tc>
      </w:tr>
      <w:tr w:rsidR="009A753C" w:rsidRPr="00F2213F" w14:paraId="4BBF5EC6" w14:textId="77777777" w:rsidTr="00214CB8">
        <w:trPr>
          <w:trHeight w:val="60"/>
        </w:trPr>
        <w:tc>
          <w:tcPr>
            <w:tcW w:w="1667" w:type="pct"/>
            <w:tcBorders>
              <w:top w:val="nil"/>
              <w:right w:val="single" w:sz="4" w:space="0" w:color="auto"/>
            </w:tcBorders>
            <w:vAlign w:val="center"/>
            <w:hideMark/>
          </w:tcPr>
          <w:p w14:paraId="30073ACB" w14:textId="77777777" w:rsidR="009A753C" w:rsidRPr="00F2213F" w:rsidRDefault="009A753C" w:rsidP="00214CB8">
            <w:pPr>
              <w:rPr>
                <w:color w:val="000000" w:themeColor="text1"/>
                <w:sz w:val="20"/>
                <w:lang w:eastAsia="en-GB"/>
              </w:rPr>
            </w:pPr>
            <w:r w:rsidRPr="00F2213F">
              <w:rPr>
                <w:color w:val="000000" w:themeColor="text1"/>
                <w:sz w:val="20"/>
                <w:lang w:eastAsia="en-GB"/>
              </w:rPr>
              <w:t>1.1.4. Start-up and micro-enterprise Business Growth &amp; Innovation Competition</w:t>
            </w:r>
          </w:p>
        </w:tc>
        <w:tc>
          <w:tcPr>
            <w:tcW w:w="1667" w:type="pct"/>
            <w:vMerge/>
            <w:tcBorders>
              <w:right w:val="single" w:sz="4" w:space="0" w:color="auto"/>
            </w:tcBorders>
            <w:vAlign w:val="center"/>
            <w:hideMark/>
          </w:tcPr>
          <w:p w14:paraId="20675830" w14:textId="77777777" w:rsidR="009A753C" w:rsidRPr="00F2213F" w:rsidRDefault="009A753C" w:rsidP="00214CB8">
            <w:pPr>
              <w:rPr>
                <w:b/>
                <w:bCs/>
                <w:color w:val="000000" w:themeColor="text1"/>
                <w:sz w:val="20"/>
                <w:lang w:eastAsia="en-GB"/>
              </w:rPr>
            </w:pPr>
          </w:p>
        </w:tc>
        <w:tc>
          <w:tcPr>
            <w:tcW w:w="1666" w:type="pct"/>
            <w:vMerge/>
            <w:tcBorders>
              <w:left w:val="single" w:sz="4" w:space="0" w:color="auto"/>
            </w:tcBorders>
            <w:vAlign w:val="center"/>
            <w:hideMark/>
          </w:tcPr>
          <w:p w14:paraId="37AEE621" w14:textId="77777777" w:rsidR="009A753C" w:rsidRPr="00F2213F" w:rsidRDefault="009A753C" w:rsidP="00214CB8">
            <w:pPr>
              <w:rPr>
                <w:b/>
                <w:bCs/>
                <w:color w:val="000000" w:themeColor="text1"/>
                <w:sz w:val="20"/>
                <w:lang w:eastAsia="en-GB"/>
              </w:rPr>
            </w:pPr>
          </w:p>
        </w:tc>
      </w:tr>
      <w:tr w:rsidR="009A753C" w:rsidRPr="00F2213F" w14:paraId="49DD9EAC" w14:textId="77777777" w:rsidTr="00214CB8">
        <w:trPr>
          <w:trHeight w:val="500"/>
        </w:trPr>
        <w:tc>
          <w:tcPr>
            <w:tcW w:w="1667" w:type="pct"/>
            <w:tcBorders>
              <w:right w:val="single" w:sz="4" w:space="0" w:color="auto"/>
            </w:tcBorders>
            <w:vAlign w:val="center"/>
            <w:hideMark/>
          </w:tcPr>
          <w:p w14:paraId="07A3A328" w14:textId="77777777" w:rsidR="009A753C" w:rsidRPr="00F2213F" w:rsidRDefault="009A753C" w:rsidP="00214CB8">
            <w:pPr>
              <w:rPr>
                <w:color w:val="000000" w:themeColor="text1"/>
                <w:sz w:val="20"/>
                <w:lang w:eastAsia="en-GB"/>
              </w:rPr>
            </w:pPr>
            <w:r w:rsidRPr="00F2213F">
              <w:rPr>
                <w:color w:val="000000" w:themeColor="text1"/>
                <w:sz w:val="20"/>
                <w:lang w:eastAsia="en-GB"/>
              </w:rPr>
              <w:t>a) Call 1 launch and close</w:t>
            </w:r>
          </w:p>
        </w:tc>
        <w:tc>
          <w:tcPr>
            <w:tcW w:w="1667" w:type="pct"/>
            <w:vMerge w:val="restart"/>
            <w:tcBorders>
              <w:top w:val="nil"/>
              <w:left w:val="single" w:sz="4" w:space="0" w:color="auto"/>
              <w:bottom w:val="single" w:sz="4" w:space="0" w:color="auto"/>
              <w:right w:val="single" w:sz="4" w:space="0" w:color="auto"/>
            </w:tcBorders>
            <w:hideMark/>
          </w:tcPr>
          <w:p w14:paraId="2BB6E51D" w14:textId="77777777" w:rsidR="009A753C" w:rsidRPr="00F2213F" w:rsidRDefault="009A753C" w:rsidP="00214CB8">
            <w:pPr>
              <w:rPr>
                <w:b/>
                <w:bCs/>
                <w:color w:val="000000" w:themeColor="text1"/>
                <w:sz w:val="20"/>
                <w:lang w:eastAsia="en-GB"/>
              </w:rPr>
            </w:pPr>
            <w:r w:rsidRPr="00F2213F">
              <w:rPr>
                <w:b/>
                <w:bCs/>
                <w:color w:val="000000" w:themeColor="text1"/>
                <w:sz w:val="20"/>
                <w:lang w:eastAsia="en-GB"/>
              </w:rPr>
              <w:t>Costs</w:t>
            </w:r>
            <w:r w:rsidRPr="00F2213F">
              <w:rPr>
                <w:b/>
                <w:bCs/>
                <w:color w:val="000000" w:themeColor="text1"/>
                <w:sz w:val="20"/>
                <w:lang w:eastAsia="en-GB"/>
              </w:rPr>
              <w:br/>
            </w:r>
          </w:p>
          <w:p w14:paraId="22804A20" w14:textId="77777777" w:rsidR="009A753C" w:rsidRPr="00F2213F" w:rsidRDefault="009A753C" w:rsidP="00214CB8">
            <w:pPr>
              <w:rPr>
                <w:b/>
                <w:bCs/>
                <w:color w:val="000000" w:themeColor="text1"/>
                <w:sz w:val="20"/>
                <w:lang w:eastAsia="en-GB"/>
              </w:rPr>
            </w:pPr>
            <w:r w:rsidRPr="00F2213F">
              <w:rPr>
                <w:b/>
                <w:bCs/>
                <w:color w:val="000000" w:themeColor="text1"/>
                <w:sz w:val="20"/>
                <w:lang w:eastAsia="en-GB"/>
              </w:rPr>
              <w:t xml:space="preserve">Total FSTP Allocation </w:t>
            </w:r>
          </w:p>
          <w:p w14:paraId="2EA87722" w14:textId="77777777" w:rsidR="009A753C" w:rsidRPr="00F2213F" w:rsidRDefault="009A753C" w:rsidP="00214CB8">
            <w:pPr>
              <w:rPr>
                <w:b/>
                <w:bCs/>
                <w:color w:val="000000" w:themeColor="text1"/>
                <w:sz w:val="20"/>
                <w:lang w:eastAsia="en-GB"/>
              </w:rPr>
            </w:pPr>
            <w:r w:rsidRPr="00F2213F">
              <w:rPr>
                <w:b/>
                <w:bCs/>
                <w:color w:val="000000" w:themeColor="text1"/>
                <w:sz w:val="20"/>
                <w:lang w:eastAsia="en-GB"/>
              </w:rPr>
              <w:t>= EUR 15,664,758</w:t>
            </w:r>
            <w:r w:rsidRPr="00F2213F">
              <w:rPr>
                <w:b/>
                <w:bCs/>
                <w:color w:val="000000" w:themeColor="text1"/>
                <w:sz w:val="20"/>
                <w:lang w:eastAsia="en-GB"/>
              </w:rPr>
              <w:br/>
              <w:t>% Total Budget Allocated to FSTP &amp; TA = 69%</w:t>
            </w:r>
          </w:p>
          <w:p w14:paraId="0FEF0E19" w14:textId="77777777" w:rsidR="009A753C" w:rsidRPr="00F2213F" w:rsidRDefault="009A753C" w:rsidP="00214CB8">
            <w:pPr>
              <w:rPr>
                <w:b/>
                <w:bCs/>
                <w:color w:val="000000" w:themeColor="text1"/>
                <w:sz w:val="20"/>
                <w:lang w:eastAsia="en-GB"/>
              </w:rPr>
            </w:pPr>
          </w:p>
          <w:p w14:paraId="60FC9824" w14:textId="77777777" w:rsidR="009A753C" w:rsidRPr="00F2213F" w:rsidRDefault="009A753C" w:rsidP="00214CB8">
            <w:pPr>
              <w:rPr>
                <w:b/>
                <w:bCs/>
                <w:color w:val="000000" w:themeColor="text1"/>
                <w:sz w:val="20"/>
                <w:lang w:eastAsia="en-GB"/>
              </w:rPr>
            </w:pPr>
            <w:r w:rsidRPr="00F2213F">
              <w:rPr>
                <w:b/>
                <w:bCs/>
                <w:color w:val="000000" w:themeColor="text1"/>
                <w:sz w:val="20"/>
                <w:lang w:eastAsia="en-GB"/>
              </w:rPr>
              <w:t xml:space="preserve">Total Technical Assistance Allocation </w:t>
            </w:r>
          </w:p>
          <w:p w14:paraId="55658CB8" w14:textId="77777777" w:rsidR="009A753C" w:rsidRPr="00F2213F" w:rsidRDefault="009A753C" w:rsidP="00214CB8">
            <w:pPr>
              <w:rPr>
                <w:b/>
                <w:bCs/>
                <w:color w:val="000000" w:themeColor="text1"/>
                <w:sz w:val="20"/>
                <w:lang w:eastAsia="en-GB"/>
              </w:rPr>
            </w:pPr>
            <w:r w:rsidRPr="00F2213F">
              <w:rPr>
                <w:b/>
                <w:bCs/>
                <w:color w:val="000000" w:themeColor="text1"/>
                <w:sz w:val="20"/>
                <w:lang w:eastAsia="en-GB"/>
              </w:rPr>
              <w:t xml:space="preserve">= EUR 3,4,17,839 </w:t>
            </w:r>
            <w:r w:rsidRPr="00F2213F">
              <w:rPr>
                <w:b/>
                <w:bCs/>
                <w:color w:val="000000" w:themeColor="text1"/>
                <w:sz w:val="20"/>
                <w:lang w:eastAsia="en-GB"/>
              </w:rPr>
              <w:br/>
              <w:t>% Total Budget Allocated to FSTP &amp; TA = 15%</w:t>
            </w:r>
            <w:r w:rsidRPr="00F2213F">
              <w:rPr>
                <w:b/>
                <w:bCs/>
                <w:color w:val="000000" w:themeColor="text1"/>
                <w:sz w:val="20"/>
                <w:lang w:eastAsia="en-GB"/>
              </w:rPr>
              <w:br/>
            </w:r>
          </w:p>
          <w:p w14:paraId="33D46169" w14:textId="77777777" w:rsidR="009A753C" w:rsidRPr="00F2213F" w:rsidRDefault="009A753C" w:rsidP="00214CB8">
            <w:pPr>
              <w:rPr>
                <w:color w:val="000000" w:themeColor="text1"/>
                <w:sz w:val="20"/>
                <w:lang w:eastAsia="en-GB"/>
              </w:rPr>
            </w:pPr>
            <w:r w:rsidRPr="00F2213F">
              <w:rPr>
                <w:b/>
                <w:bCs/>
                <w:color w:val="000000" w:themeColor="text1"/>
                <w:sz w:val="20"/>
                <w:lang w:eastAsia="en-GB"/>
              </w:rPr>
              <w:t>% Total Budget Allocated to FSTP &amp; TA = 84.1%</w:t>
            </w:r>
          </w:p>
          <w:p w14:paraId="75A9C891" w14:textId="77777777" w:rsidR="009A753C" w:rsidRDefault="009A753C" w:rsidP="00214CB8">
            <w:pPr>
              <w:rPr>
                <w:color w:val="000000" w:themeColor="text1"/>
                <w:sz w:val="20"/>
                <w:lang w:eastAsia="en-GB"/>
              </w:rPr>
            </w:pPr>
            <w:r w:rsidRPr="00F2213F">
              <w:rPr>
                <w:color w:val="000000" w:themeColor="text1"/>
                <w:sz w:val="20"/>
                <w:lang w:eastAsia="en-GB"/>
              </w:rPr>
              <w:br/>
              <w:t>Subtotal Human Resources EUR 3,364,155</w:t>
            </w:r>
            <w:r w:rsidRPr="00F2213F">
              <w:rPr>
                <w:color w:val="000000" w:themeColor="text1"/>
                <w:sz w:val="20"/>
                <w:lang w:eastAsia="en-GB"/>
              </w:rPr>
              <w:br/>
              <w:t>Subtotal Travel EUR 100,326</w:t>
            </w:r>
            <w:r w:rsidRPr="00F2213F">
              <w:rPr>
                <w:color w:val="000000" w:themeColor="text1"/>
                <w:sz w:val="20"/>
                <w:lang w:eastAsia="en-GB"/>
              </w:rPr>
              <w:br/>
              <w:t xml:space="preserve">Subtotal Equipment and supplies EUR 106,668 </w:t>
            </w:r>
            <w:r w:rsidRPr="00F2213F">
              <w:rPr>
                <w:color w:val="000000" w:themeColor="text1"/>
                <w:sz w:val="20"/>
                <w:lang w:eastAsia="en-GB"/>
              </w:rPr>
              <w:br/>
              <w:t>Subtotal Project office EUR 249,630</w:t>
            </w:r>
            <w:r w:rsidRPr="00F2213F">
              <w:rPr>
                <w:color w:val="000000" w:themeColor="text1"/>
                <w:sz w:val="20"/>
                <w:lang w:eastAsia="en-GB"/>
              </w:rPr>
              <w:br/>
              <w:t>Subtotal Other costs, services EUR 346,726</w:t>
            </w:r>
            <w:r w:rsidRPr="00F2213F">
              <w:rPr>
                <w:color w:val="000000" w:themeColor="text1"/>
                <w:sz w:val="20"/>
                <w:lang w:eastAsia="en-GB"/>
              </w:rPr>
              <w:br/>
              <w:t xml:space="preserve">6. Other </w:t>
            </w:r>
            <w:r w:rsidRPr="00F2213F">
              <w:rPr>
                <w:color w:val="000000" w:themeColor="text1"/>
                <w:sz w:val="20"/>
                <w:lang w:eastAsia="en-GB"/>
              </w:rPr>
              <w:br/>
              <w:t xml:space="preserve">6.1 OP1.1. (Start-ups and micro-enterprises): 550 start-ups and micro-enterprises use technical assistance and grant support for business development </w:t>
            </w:r>
            <w:r w:rsidRPr="00F2213F">
              <w:rPr>
                <w:color w:val="000000" w:themeColor="text1"/>
                <w:sz w:val="20"/>
                <w:lang w:eastAsia="en-GB"/>
              </w:rPr>
              <w:br/>
              <w:t xml:space="preserve">6.1.2.1 Initial Engagement Workshops: to bring BDSP providers together to discuss challenges, opportunities, and potential solutions to support Micro Enterprises and Start-ups EUR 2,520 </w:t>
            </w:r>
            <w:r w:rsidRPr="00F2213F">
              <w:rPr>
                <w:color w:val="000000" w:themeColor="text1"/>
                <w:sz w:val="20"/>
                <w:lang w:eastAsia="en-GB"/>
              </w:rPr>
              <w:br/>
              <w:t xml:space="preserve">6.1.4.1 Independent review of recommendations from BDSP &amp; PMU for TA / CapEx grants for micro enterprises EUR </w:t>
            </w:r>
            <w:r>
              <w:rPr>
                <w:color w:val="000000" w:themeColor="text1"/>
                <w:sz w:val="20"/>
                <w:lang w:eastAsia="en-GB"/>
              </w:rPr>
              <w:t>50,000</w:t>
            </w:r>
            <w:r w:rsidRPr="00F2213F">
              <w:rPr>
                <w:color w:val="000000" w:themeColor="text1"/>
                <w:sz w:val="20"/>
                <w:lang w:eastAsia="en-GB"/>
              </w:rPr>
              <w:t xml:space="preserve"> </w:t>
            </w:r>
            <w:r w:rsidRPr="00F2213F">
              <w:rPr>
                <w:color w:val="000000" w:themeColor="text1"/>
                <w:sz w:val="20"/>
                <w:lang w:eastAsia="en-GB"/>
              </w:rPr>
              <w:br/>
              <w:t xml:space="preserve">6.1.4.2 Start-up and micro-enterprise Business Growth &amp; Innovation Prizes EUR 1,383,936 </w:t>
            </w:r>
            <w:r w:rsidRPr="00F2213F">
              <w:rPr>
                <w:color w:val="000000" w:themeColor="text1"/>
                <w:sz w:val="20"/>
                <w:lang w:eastAsia="en-GB"/>
              </w:rPr>
              <w:br/>
              <w:t xml:space="preserve">6.1.5.1 Follow up Engagement Workshops: to bring stakeholders together to discuss challenges, opportunities, and potential solutions. EUR 20,800 </w:t>
            </w:r>
          </w:p>
          <w:p w14:paraId="0D805133" w14:textId="77777777" w:rsidR="009A753C" w:rsidRPr="00F2213F" w:rsidRDefault="009A753C" w:rsidP="00214CB8">
            <w:pPr>
              <w:rPr>
                <w:color w:val="000000" w:themeColor="text1"/>
                <w:sz w:val="20"/>
                <w:lang w:eastAsia="en-GB"/>
              </w:rPr>
            </w:pPr>
            <w:r w:rsidRPr="00F2213F">
              <w:rPr>
                <w:color w:val="000000" w:themeColor="text1"/>
                <w:sz w:val="20"/>
                <w:lang w:eastAsia="en-GB"/>
              </w:rPr>
              <w:t>6.1.6.1 Advertising for TA providers</w:t>
            </w:r>
            <w:r>
              <w:rPr>
                <w:color w:val="000000" w:themeColor="text1"/>
                <w:sz w:val="20"/>
                <w:lang w:eastAsia="en-GB"/>
              </w:rPr>
              <w:t>. EUR 357</w:t>
            </w:r>
          </w:p>
          <w:p w14:paraId="0EB7C202" w14:textId="77777777" w:rsidR="009A753C" w:rsidRDefault="009A753C" w:rsidP="00214CB8">
            <w:pPr>
              <w:rPr>
                <w:color w:val="000000" w:themeColor="text1"/>
                <w:sz w:val="20"/>
                <w:lang w:eastAsia="en-GB"/>
              </w:rPr>
            </w:pPr>
            <w:r w:rsidRPr="00F2213F">
              <w:rPr>
                <w:color w:val="000000" w:themeColor="text1"/>
                <w:sz w:val="20"/>
                <w:lang w:eastAsia="en-GB"/>
              </w:rPr>
              <w:t>6.1.6.2 TA consultant days</w:t>
            </w:r>
            <w:r>
              <w:rPr>
                <w:color w:val="000000" w:themeColor="text1"/>
                <w:sz w:val="20"/>
                <w:lang w:eastAsia="en-GB"/>
              </w:rPr>
              <w:t>. EUR 56,000</w:t>
            </w:r>
            <w:r w:rsidRPr="00F2213F">
              <w:rPr>
                <w:color w:val="000000" w:themeColor="text1"/>
                <w:sz w:val="20"/>
                <w:lang w:eastAsia="en-GB"/>
              </w:rPr>
              <w:br/>
              <w:t xml:space="preserve">6.2 OP1.2. (SMEs): 250 SMEs use technical assistance and grant support for business development  </w:t>
            </w:r>
            <w:r w:rsidRPr="00F2213F">
              <w:rPr>
                <w:color w:val="000000" w:themeColor="text1"/>
                <w:sz w:val="20"/>
                <w:lang w:eastAsia="en-GB"/>
              </w:rPr>
              <w:br/>
              <w:t xml:space="preserve">6.2.2.1 Initial Engagement Workshops: to bring SMEs and BDSP providers together to discuss challenges, opportunities, and potential solutions EUR 1,890 </w:t>
            </w:r>
            <w:r w:rsidRPr="00F2213F">
              <w:rPr>
                <w:color w:val="000000" w:themeColor="text1"/>
                <w:sz w:val="20"/>
                <w:lang w:eastAsia="en-GB"/>
              </w:rPr>
              <w:br/>
              <w:t xml:space="preserve">6.2.4.1 Independent investment committee recruitment - advert EUR 357 </w:t>
            </w:r>
            <w:r w:rsidRPr="00F2213F">
              <w:rPr>
                <w:color w:val="000000" w:themeColor="text1"/>
                <w:sz w:val="20"/>
                <w:lang w:eastAsia="en-GB"/>
              </w:rPr>
              <w:br/>
              <w:t xml:space="preserve">6.2.4.2  Marketing and launch of calls for proposals EUR 758 </w:t>
            </w:r>
            <w:r w:rsidRPr="00F2213F">
              <w:rPr>
                <w:color w:val="000000" w:themeColor="text1"/>
                <w:sz w:val="20"/>
                <w:lang w:eastAsia="en-GB"/>
              </w:rPr>
              <w:br/>
              <w:t xml:space="preserve">6.2.4.3  Concept note &amp; Business plan review by IIC EUR 28,320 </w:t>
            </w:r>
            <w:r w:rsidRPr="00F2213F">
              <w:rPr>
                <w:color w:val="000000" w:themeColor="text1"/>
                <w:sz w:val="20"/>
                <w:lang w:eastAsia="en-GB"/>
              </w:rPr>
              <w:br/>
              <w:t xml:space="preserve">6.2.4.4  Disbursement of grant funds (Medium) EUR 8,505,440 </w:t>
            </w:r>
            <w:r w:rsidRPr="00F2213F">
              <w:rPr>
                <w:color w:val="000000" w:themeColor="text1"/>
                <w:sz w:val="20"/>
                <w:lang w:eastAsia="en-GB"/>
              </w:rPr>
              <w:br/>
              <w:t xml:space="preserve">6.2.4.5  Disbursement of grant funds (Small) EUR 2,619,155 </w:t>
            </w:r>
            <w:r w:rsidRPr="00F2213F">
              <w:rPr>
                <w:color w:val="000000" w:themeColor="text1"/>
                <w:sz w:val="20"/>
                <w:lang w:eastAsia="en-GB"/>
              </w:rPr>
              <w:br/>
              <w:t xml:space="preserve">6.2.6.1 Advertising for TA providers EUR 357 </w:t>
            </w:r>
            <w:r w:rsidRPr="00F2213F">
              <w:rPr>
                <w:color w:val="000000" w:themeColor="text1"/>
                <w:sz w:val="20"/>
                <w:lang w:eastAsia="en-GB"/>
              </w:rPr>
              <w:br/>
              <w:t xml:space="preserve">6.2.6.2 TA consultant days EUR </w:t>
            </w:r>
            <w:r>
              <w:rPr>
                <w:color w:val="000000" w:themeColor="text1"/>
                <w:sz w:val="20"/>
                <w:lang w:eastAsia="en-GB"/>
              </w:rPr>
              <w:t>50,500</w:t>
            </w:r>
            <w:r w:rsidRPr="00F2213F">
              <w:rPr>
                <w:color w:val="000000" w:themeColor="text1"/>
                <w:sz w:val="20"/>
                <w:lang w:eastAsia="en-GB"/>
              </w:rPr>
              <w:t xml:space="preserve"> </w:t>
            </w:r>
            <w:r w:rsidRPr="00F2213F">
              <w:rPr>
                <w:color w:val="000000" w:themeColor="text1"/>
                <w:sz w:val="20"/>
                <w:lang w:eastAsia="en-GB"/>
              </w:rPr>
              <w:br/>
              <w:t xml:space="preserve">6.3 Op. 1.3. (FSPs): Financial Service Providers (FSPs)/investors offer increased number of products to green, circular and digital MSMEs </w:t>
            </w:r>
            <w:r w:rsidRPr="00F2213F">
              <w:rPr>
                <w:color w:val="000000" w:themeColor="text1"/>
                <w:sz w:val="20"/>
                <w:lang w:eastAsia="en-GB"/>
              </w:rPr>
              <w:br/>
              <w:t xml:space="preserve">6.3.1.1 Advertising for TA providers EUR 357 </w:t>
            </w:r>
            <w:r w:rsidRPr="00F2213F">
              <w:rPr>
                <w:color w:val="000000" w:themeColor="text1"/>
                <w:sz w:val="20"/>
                <w:lang w:eastAsia="en-GB"/>
              </w:rPr>
              <w:br/>
              <w:t xml:space="preserve">6.3.1.3 TA consultant days EUR </w:t>
            </w:r>
            <w:r>
              <w:rPr>
                <w:color w:val="000000" w:themeColor="text1"/>
                <w:sz w:val="20"/>
                <w:lang w:eastAsia="en-GB"/>
              </w:rPr>
              <w:t>40,000</w:t>
            </w:r>
            <w:r w:rsidRPr="00F2213F">
              <w:rPr>
                <w:color w:val="000000" w:themeColor="text1"/>
                <w:sz w:val="20"/>
                <w:lang w:eastAsia="en-GB"/>
              </w:rPr>
              <w:t xml:space="preserve"> </w:t>
            </w:r>
            <w:r w:rsidRPr="00F2213F">
              <w:rPr>
                <w:color w:val="000000" w:themeColor="text1"/>
                <w:sz w:val="20"/>
                <w:lang w:eastAsia="en-GB"/>
              </w:rPr>
              <w:br/>
              <w:t xml:space="preserve">6.3.2.1  Disbursement of grant funds EUR 783,150 </w:t>
            </w:r>
            <w:r w:rsidRPr="00F2213F">
              <w:rPr>
                <w:color w:val="000000" w:themeColor="text1"/>
                <w:sz w:val="20"/>
                <w:lang w:eastAsia="en-GB"/>
              </w:rPr>
              <w:br/>
              <w:t xml:space="preserve">6.3.3.1  Disbursement of grant funds innovation EUR 796,320 </w:t>
            </w:r>
            <w:r w:rsidRPr="00F2213F">
              <w:rPr>
                <w:color w:val="000000" w:themeColor="text1"/>
                <w:sz w:val="20"/>
                <w:lang w:eastAsia="en-GB"/>
              </w:rPr>
              <w:br/>
              <w:t xml:space="preserve">6.3.4.1 Annual contribution to Zambia Impact Investment Summit EUR 40,000 </w:t>
            </w:r>
            <w:r w:rsidRPr="00F2213F">
              <w:rPr>
                <w:color w:val="000000" w:themeColor="text1"/>
                <w:sz w:val="20"/>
                <w:lang w:eastAsia="en-GB"/>
              </w:rPr>
              <w:br/>
              <w:t xml:space="preserve">6.4.1.1 Dissemination and Learning Workshops EUR 8,100 </w:t>
            </w:r>
            <w:r w:rsidRPr="00F2213F">
              <w:rPr>
                <w:color w:val="000000" w:themeColor="text1"/>
                <w:sz w:val="20"/>
                <w:lang w:eastAsia="en-GB"/>
              </w:rPr>
              <w:br/>
              <w:t xml:space="preserve">6.4.5.1 Annual contribution to Zambia Circular Economy Forum EUR 68,276 </w:t>
            </w:r>
            <w:r w:rsidRPr="00F2213F">
              <w:rPr>
                <w:color w:val="000000" w:themeColor="text1"/>
                <w:sz w:val="20"/>
                <w:lang w:eastAsia="en-GB"/>
              </w:rPr>
              <w:br/>
              <w:t xml:space="preserve">6.4.3.1 Strategy &amp; Planning Workshop EUR 3,240 </w:t>
            </w:r>
            <w:r w:rsidRPr="00F2213F">
              <w:rPr>
                <w:color w:val="000000" w:themeColor="text1"/>
                <w:sz w:val="20"/>
                <w:lang w:eastAsia="en-GB"/>
              </w:rPr>
              <w:br/>
              <w:t xml:space="preserve">6.4.4.1 Award &amp; Celebration Event - Best companies EUR 4,500 </w:t>
            </w:r>
            <w:r w:rsidRPr="00F2213F">
              <w:rPr>
                <w:color w:val="000000" w:themeColor="text1"/>
                <w:sz w:val="20"/>
                <w:lang w:eastAsia="en-GB"/>
              </w:rPr>
              <w:br/>
              <w:t xml:space="preserve">6.4.5.1 Commissioning policy research and policy briefs EUR </w:t>
            </w:r>
            <w:r>
              <w:rPr>
                <w:color w:val="000000" w:themeColor="text1"/>
                <w:sz w:val="20"/>
                <w:lang w:eastAsia="en-GB"/>
              </w:rPr>
              <w:t>134,976</w:t>
            </w:r>
            <w:r w:rsidRPr="00F2213F">
              <w:rPr>
                <w:color w:val="000000" w:themeColor="text1"/>
                <w:sz w:val="20"/>
                <w:lang w:eastAsia="en-GB"/>
              </w:rPr>
              <w:t xml:space="preserve"> </w:t>
            </w:r>
            <w:r w:rsidRPr="00F2213F">
              <w:rPr>
                <w:color w:val="000000" w:themeColor="text1"/>
                <w:sz w:val="20"/>
                <w:lang w:eastAsia="en-GB"/>
              </w:rPr>
              <w:br/>
              <w:t xml:space="preserve">6.4.6.1 Workshop on policy issues EUR 4,050 </w:t>
            </w:r>
            <w:r w:rsidRPr="00F2213F">
              <w:rPr>
                <w:color w:val="000000" w:themeColor="text1"/>
                <w:sz w:val="20"/>
                <w:lang w:eastAsia="en-GB"/>
              </w:rPr>
              <w:br/>
              <w:t xml:space="preserve">6.5 OP2.1. (BDSPs): Business Development Service Providers (BDSPs) use technical assistance and grant support to increase the provision of services to MSMEs particularly in the green, circular and digital economy </w:t>
            </w:r>
            <w:r w:rsidRPr="00F2213F">
              <w:rPr>
                <w:color w:val="000000" w:themeColor="text1"/>
                <w:sz w:val="20"/>
                <w:lang w:eastAsia="en-GB"/>
              </w:rPr>
              <w:br/>
              <w:t xml:space="preserve">6.5.2.1 Advertising BDSP call for proposals EUR 357 </w:t>
            </w:r>
            <w:r w:rsidRPr="00F2213F">
              <w:rPr>
                <w:color w:val="000000" w:themeColor="text1"/>
                <w:sz w:val="20"/>
                <w:lang w:eastAsia="en-GB"/>
              </w:rPr>
              <w:br/>
              <w:t xml:space="preserve">6.5.3.1 Advertising for TA providers EUR 357 </w:t>
            </w:r>
            <w:r w:rsidRPr="00F2213F">
              <w:rPr>
                <w:color w:val="000000" w:themeColor="text1"/>
                <w:sz w:val="20"/>
                <w:lang w:eastAsia="en-GB"/>
              </w:rPr>
              <w:br/>
              <w:t xml:space="preserve">6.5.3.2 TA consultant days EUR 50,000 </w:t>
            </w:r>
            <w:r w:rsidRPr="00F2213F">
              <w:rPr>
                <w:color w:val="000000" w:themeColor="text1"/>
                <w:sz w:val="20"/>
                <w:lang w:eastAsia="en-GB"/>
              </w:rPr>
              <w:br/>
              <w:t xml:space="preserve">6.5.4.1  Disbursement of grant funds EUR 1,576,750 </w:t>
            </w:r>
            <w:r w:rsidRPr="00F2213F">
              <w:rPr>
                <w:color w:val="000000" w:themeColor="text1"/>
                <w:sz w:val="20"/>
                <w:lang w:eastAsia="en-GB"/>
              </w:rPr>
              <w:br/>
              <w:t xml:space="preserve">6.5 OP2.2. (TVET Providers): Technical and Vocational Education and Training (TVET) providers increase the quality of skills training and development opportunities for a green, circular and digital economy workforce </w:t>
            </w:r>
            <w:r w:rsidRPr="00F2213F">
              <w:rPr>
                <w:color w:val="000000" w:themeColor="text1"/>
                <w:sz w:val="20"/>
                <w:lang w:eastAsia="en-GB"/>
              </w:rPr>
              <w:br/>
              <w:t xml:space="preserve">6.5.2.1 Printing handbook for TVET EUR 4,500 </w:t>
            </w:r>
            <w:r w:rsidRPr="00F2213F">
              <w:rPr>
                <w:color w:val="000000" w:themeColor="text1"/>
                <w:sz w:val="20"/>
                <w:lang w:eastAsia="en-GB"/>
              </w:rPr>
              <w:br/>
              <w:t xml:space="preserve">6.5.3.1 FabLab - Strategy Meetings EUR 4,160 </w:t>
            </w:r>
            <w:r w:rsidRPr="00F2213F">
              <w:rPr>
                <w:color w:val="000000" w:themeColor="text1"/>
                <w:sz w:val="20"/>
                <w:lang w:eastAsia="en-GB"/>
              </w:rPr>
              <w:br/>
              <w:t xml:space="preserve">6.5.3.2 Procuring, shipping and installation of equipment  EUR 353,040 </w:t>
            </w:r>
            <w:r w:rsidRPr="00F2213F">
              <w:rPr>
                <w:color w:val="000000" w:themeColor="text1"/>
                <w:sz w:val="20"/>
                <w:lang w:eastAsia="en-GB"/>
              </w:rPr>
              <w:br/>
              <w:t xml:space="preserve">6.5.3.3 Contribution to Annual Running Costs EUR 101,760 </w:t>
            </w:r>
            <w:r w:rsidRPr="00F2213F">
              <w:rPr>
                <w:color w:val="000000" w:themeColor="text1"/>
                <w:sz w:val="20"/>
                <w:lang w:eastAsia="en-GB"/>
              </w:rPr>
              <w:br/>
              <w:t xml:space="preserve">6.5.3.4 Instructor training and linking with Global FabLab movement / accreditation of FabLab  EUR 336,276 </w:t>
            </w:r>
            <w:r w:rsidRPr="00F2213F">
              <w:rPr>
                <w:color w:val="000000" w:themeColor="text1"/>
                <w:sz w:val="20"/>
                <w:lang w:eastAsia="en-GB"/>
              </w:rPr>
              <w:br/>
              <w:t xml:space="preserve">Subtotal Other EUR 17,053,772 </w:t>
            </w:r>
            <w:r w:rsidRPr="00F2213F">
              <w:rPr>
                <w:color w:val="000000" w:themeColor="text1"/>
                <w:sz w:val="20"/>
                <w:lang w:eastAsia="en-GB"/>
              </w:rPr>
              <w:br/>
              <w:t xml:space="preserve">7.  Subtotal direct eligible costs of the Action EUR 21,213,729 </w:t>
            </w:r>
            <w:r w:rsidRPr="00F2213F">
              <w:rPr>
                <w:color w:val="000000" w:themeColor="text1"/>
                <w:sz w:val="20"/>
                <w:lang w:eastAsia="en-GB"/>
              </w:rPr>
              <w:br/>
              <w:t xml:space="preserve">8. Indirect costs EUR 1,484,961 </w:t>
            </w:r>
          </w:p>
          <w:p w14:paraId="3A9A8E35" w14:textId="77777777" w:rsidR="009A753C" w:rsidRDefault="009A753C" w:rsidP="00214CB8">
            <w:pPr>
              <w:rPr>
                <w:color w:val="000000" w:themeColor="text1"/>
                <w:sz w:val="20"/>
                <w:lang w:eastAsia="en-GB"/>
              </w:rPr>
            </w:pPr>
            <w:r w:rsidRPr="00F2213F">
              <w:rPr>
                <w:color w:val="000000" w:themeColor="text1"/>
                <w:sz w:val="20"/>
                <w:lang w:eastAsia="en-GB"/>
              </w:rPr>
              <w:t xml:space="preserve">9. Total eligible costs of the Action </w:t>
            </w:r>
          </w:p>
          <w:p w14:paraId="564E6C08" w14:textId="77777777" w:rsidR="009A753C" w:rsidRDefault="009A753C" w:rsidP="00214CB8">
            <w:pPr>
              <w:rPr>
                <w:color w:val="000000" w:themeColor="text1"/>
                <w:sz w:val="20"/>
                <w:lang w:eastAsia="en-GB"/>
              </w:rPr>
            </w:pPr>
            <w:r>
              <w:rPr>
                <w:color w:val="000000" w:themeColor="text1"/>
                <w:sz w:val="20"/>
                <w:lang w:eastAsia="en-GB"/>
              </w:rPr>
              <w:t>10. Contingency EUR 9.92</w:t>
            </w:r>
          </w:p>
          <w:p w14:paraId="19935483" w14:textId="77777777" w:rsidR="009A753C" w:rsidRPr="00F2213F" w:rsidRDefault="009A753C" w:rsidP="00214CB8">
            <w:pPr>
              <w:rPr>
                <w:color w:val="000000" w:themeColor="text1"/>
                <w:sz w:val="20"/>
                <w:lang w:eastAsia="en-GB"/>
              </w:rPr>
            </w:pPr>
            <w:r w:rsidRPr="00453B28">
              <w:rPr>
                <w:color w:val="000000" w:themeColor="text1"/>
                <w:sz w:val="20"/>
                <w:lang w:eastAsia="en-GB"/>
              </w:rPr>
              <w:t>11. Total eligible costs</w:t>
            </w:r>
            <w:r>
              <w:rPr>
                <w:color w:val="000000" w:themeColor="text1"/>
                <w:sz w:val="20"/>
                <w:lang w:eastAsia="en-GB"/>
              </w:rPr>
              <w:t xml:space="preserve"> </w:t>
            </w:r>
            <w:r w:rsidRPr="00F2213F">
              <w:rPr>
                <w:color w:val="000000" w:themeColor="text1"/>
                <w:sz w:val="20"/>
                <w:lang w:eastAsia="en-GB"/>
              </w:rPr>
              <w:t>EUR 22,</w:t>
            </w:r>
            <w:r>
              <w:rPr>
                <w:color w:val="000000" w:themeColor="text1"/>
                <w:sz w:val="20"/>
                <w:lang w:eastAsia="en-GB"/>
              </w:rPr>
              <w:t>700,000</w:t>
            </w:r>
            <w:r w:rsidRPr="00F2213F">
              <w:rPr>
                <w:color w:val="000000" w:themeColor="text1"/>
                <w:sz w:val="20"/>
                <w:lang w:eastAsia="en-GB"/>
              </w:rPr>
              <w:t xml:space="preserve"> </w:t>
            </w:r>
            <w:r w:rsidRPr="00F2213F">
              <w:rPr>
                <w:color w:val="000000" w:themeColor="text1"/>
                <w:sz w:val="20"/>
                <w:lang w:eastAsia="en-GB"/>
              </w:rPr>
              <w:br/>
            </w:r>
            <w:r w:rsidRPr="00F2213F">
              <w:rPr>
                <w:color w:val="000000" w:themeColor="text1"/>
                <w:sz w:val="20"/>
                <w:lang w:eastAsia="en-GB"/>
              </w:rPr>
              <w:br/>
            </w:r>
            <w:r w:rsidRPr="00F2213F">
              <w:rPr>
                <w:color w:val="000000" w:themeColor="text1"/>
                <w:sz w:val="20"/>
                <w:lang w:eastAsia="en-GB"/>
              </w:rPr>
              <w:br/>
            </w:r>
          </w:p>
        </w:tc>
        <w:tc>
          <w:tcPr>
            <w:tcW w:w="1666" w:type="pct"/>
            <w:vMerge/>
            <w:vAlign w:val="center"/>
            <w:hideMark/>
          </w:tcPr>
          <w:p w14:paraId="441DE4C1" w14:textId="77777777" w:rsidR="009A753C" w:rsidRPr="00F2213F" w:rsidRDefault="009A753C" w:rsidP="00214CB8">
            <w:pPr>
              <w:rPr>
                <w:b/>
                <w:bCs/>
                <w:color w:val="000000" w:themeColor="text1"/>
                <w:sz w:val="20"/>
                <w:lang w:eastAsia="en-GB"/>
              </w:rPr>
            </w:pPr>
          </w:p>
        </w:tc>
      </w:tr>
      <w:tr w:rsidR="009A753C" w:rsidRPr="00F2213F" w14:paraId="51452B26" w14:textId="77777777" w:rsidTr="00214CB8">
        <w:trPr>
          <w:trHeight w:val="500"/>
        </w:trPr>
        <w:tc>
          <w:tcPr>
            <w:tcW w:w="1667" w:type="pct"/>
            <w:tcBorders>
              <w:right w:val="single" w:sz="4" w:space="0" w:color="auto"/>
            </w:tcBorders>
            <w:vAlign w:val="center"/>
            <w:hideMark/>
          </w:tcPr>
          <w:p w14:paraId="561D0F2A" w14:textId="77777777" w:rsidR="009A753C" w:rsidRPr="00F2213F" w:rsidRDefault="009A753C" w:rsidP="00214CB8">
            <w:pPr>
              <w:rPr>
                <w:color w:val="000000" w:themeColor="text1"/>
                <w:sz w:val="20"/>
                <w:lang w:eastAsia="en-GB"/>
              </w:rPr>
            </w:pPr>
            <w:r w:rsidRPr="00F2213F">
              <w:rPr>
                <w:color w:val="000000" w:themeColor="text1"/>
                <w:sz w:val="20"/>
                <w:lang w:eastAsia="en-GB"/>
              </w:rPr>
              <w:t>b) Call 2 launch and close</w:t>
            </w:r>
          </w:p>
        </w:tc>
        <w:tc>
          <w:tcPr>
            <w:tcW w:w="1667" w:type="pct"/>
            <w:vMerge/>
            <w:tcBorders>
              <w:top w:val="nil"/>
              <w:right w:val="single" w:sz="4" w:space="0" w:color="auto"/>
            </w:tcBorders>
            <w:vAlign w:val="center"/>
            <w:hideMark/>
          </w:tcPr>
          <w:p w14:paraId="33DBA091"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0BAB9A25" w14:textId="77777777" w:rsidR="009A753C" w:rsidRPr="00F2213F" w:rsidRDefault="009A753C" w:rsidP="00214CB8">
            <w:pPr>
              <w:rPr>
                <w:b/>
                <w:bCs/>
                <w:color w:val="000000" w:themeColor="text1"/>
                <w:sz w:val="20"/>
                <w:lang w:eastAsia="en-GB"/>
              </w:rPr>
            </w:pPr>
          </w:p>
        </w:tc>
      </w:tr>
      <w:tr w:rsidR="009A753C" w:rsidRPr="00F2213F" w14:paraId="6CFF0423" w14:textId="77777777" w:rsidTr="00214CB8">
        <w:trPr>
          <w:trHeight w:val="500"/>
        </w:trPr>
        <w:tc>
          <w:tcPr>
            <w:tcW w:w="1667" w:type="pct"/>
            <w:tcBorders>
              <w:right w:val="single" w:sz="4" w:space="0" w:color="auto"/>
            </w:tcBorders>
            <w:vAlign w:val="center"/>
            <w:hideMark/>
          </w:tcPr>
          <w:p w14:paraId="65952300"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1.1.5. Facilitate development of green, circular, and digital economy value chains/clusters </w:t>
            </w:r>
          </w:p>
        </w:tc>
        <w:tc>
          <w:tcPr>
            <w:tcW w:w="1667" w:type="pct"/>
            <w:vMerge/>
            <w:tcBorders>
              <w:top w:val="nil"/>
              <w:right w:val="single" w:sz="4" w:space="0" w:color="auto"/>
            </w:tcBorders>
            <w:vAlign w:val="center"/>
            <w:hideMark/>
          </w:tcPr>
          <w:p w14:paraId="256C9ACE"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27BA893" w14:textId="77777777" w:rsidR="009A753C" w:rsidRPr="00F2213F" w:rsidRDefault="009A753C" w:rsidP="00214CB8">
            <w:pPr>
              <w:rPr>
                <w:b/>
                <w:bCs/>
                <w:color w:val="000000" w:themeColor="text1"/>
                <w:sz w:val="20"/>
                <w:lang w:eastAsia="en-GB"/>
              </w:rPr>
            </w:pPr>
          </w:p>
        </w:tc>
      </w:tr>
      <w:tr w:rsidR="009A753C" w:rsidRPr="00F2213F" w14:paraId="7CDD1BAC" w14:textId="77777777" w:rsidTr="00214CB8">
        <w:trPr>
          <w:trHeight w:val="500"/>
        </w:trPr>
        <w:tc>
          <w:tcPr>
            <w:tcW w:w="1667" w:type="pct"/>
            <w:tcBorders>
              <w:right w:val="single" w:sz="4" w:space="0" w:color="auto"/>
            </w:tcBorders>
            <w:vAlign w:val="center"/>
            <w:hideMark/>
          </w:tcPr>
          <w:p w14:paraId="0E4EB2C5" w14:textId="77777777" w:rsidR="009A753C" w:rsidRPr="00F2213F" w:rsidRDefault="009A753C" w:rsidP="00214CB8">
            <w:pPr>
              <w:rPr>
                <w:color w:val="000000" w:themeColor="text1"/>
                <w:sz w:val="20"/>
                <w:lang w:eastAsia="en-GB"/>
              </w:rPr>
            </w:pPr>
            <w:r w:rsidRPr="00F2213F">
              <w:rPr>
                <w:color w:val="000000" w:themeColor="text1"/>
                <w:sz w:val="20"/>
                <w:lang w:eastAsia="en-GB"/>
              </w:rPr>
              <w:t>1.1.6. Identify and contract additional external technical support providers  </w:t>
            </w:r>
          </w:p>
        </w:tc>
        <w:tc>
          <w:tcPr>
            <w:tcW w:w="1667" w:type="pct"/>
            <w:vMerge/>
            <w:tcBorders>
              <w:top w:val="nil"/>
              <w:right w:val="single" w:sz="4" w:space="0" w:color="auto"/>
            </w:tcBorders>
            <w:vAlign w:val="center"/>
            <w:hideMark/>
          </w:tcPr>
          <w:p w14:paraId="7C2CF360"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63819279" w14:textId="77777777" w:rsidR="009A753C" w:rsidRPr="00F2213F" w:rsidRDefault="009A753C" w:rsidP="00214CB8">
            <w:pPr>
              <w:rPr>
                <w:b/>
                <w:bCs/>
                <w:color w:val="000000" w:themeColor="text1"/>
                <w:sz w:val="20"/>
                <w:lang w:eastAsia="en-GB"/>
              </w:rPr>
            </w:pPr>
          </w:p>
        </w:tc>
      </w:tr>
      <w:tr w:rsidR="009A753C" w:rsidRPr="00F2213F" w14:paraId="299D99C6" w14:textId="77777777" w:rsidTr="00214CB8">
        <w:trPr>
          <w:trHeight w:val="500"/>
        </w:trPr>
        <w:tc>
          <w:tcPr>
            <w:tcW w:w="1667" w:type="pct"/>
            <w:tcBorders>
              <w:right w:val="single" w:sz="4" w:space="0" w:color="auto"/>
            </w:tcBorders>
            <w:vAlign w:val="center"/>
            <w:hideMark/>
          </w:tcPr>
          <w:p w14:paraId="497B8F05"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 xml:space="preserve">OP1.2. (SMEs): 250 SMEs use technical assistance and grant support for business development  </w:t>
            </w:r>
          </w:p>
        </w:tc>
        <w:tc>
          <w:tcPr>
            <w:tcW w:w="1667" w:type="pct"/>
            <w:vMerge/>
            <w:tcBorders>
              <w:top w:val="nil"/>
              <w:right w:val="single" w:sz="4" w:space="0" w:color="auto"/>
            </w:tcBorders>
            <w:vAlign w:val="center"/>
            <w:hideMark/>
          </w:tcPr>
          <w:p w14:paraId="242A7E45"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0D3AF389" w14:textId="77777777" w:rsidR="009A753C" w:rsidRPr="00F2213F" w:rsidRDefault="009A753C" w:rsidP="00214CB8">
            <w:pPr>
              <w:rPr>
                <w:b/>
                <w:bCs/>
                <w:color w:val="000000" w:themeColor="text1"/>
                <w:sz w:val="20"/>
                <w:lang w:eastAsia="en-GB"/>
              </w:rPr>
            </w:pPr>
          </w:p>
        </w:tc>
      </w:tr>
      <w:tr w:rsidR="009A753C" w:rsidRPr="00F2213F" w14:paraId="69FB2725" w14:textId="77777777" w:rsidTr="00214CB8">
        <w:trPr>
          <w:trHeight w:val="500"/>
        </w:trPr>
        <w:tc>
          <w:tcPr>
            <w:tcW w:w="1667" w:type="pct"/>
            <w:tcBorders>
              <w:right w:val="single" w:sz="4" w:space="0" w:color="auto"/>
            </w:tcBorders>
            <w:vAlign w:val="center"/>
            <w:hideMark/>
          </w:tcPr>
          <w:p w14:paraId="1E2113F4" w14:textId="77777777" w:rsidR="009A753C" w:rsidRPr="00F2213F" w:rsidRDefault="009A753C" w:rsidP="00214CB8">
            <w:pPr>
              <w:rPr>
                <w:color w:val="000000" w:themeColor="text1"/>
                <w:sz w:val="20"/>
                <w:lang w:eastAsia="en-GB"/>
              </w:rPr>
            </w:pPr>
            <w:r w:rsidRPr="00F2213F">
              <w:rPr>
                <w:color w:val="000000" w:themeColor="text1"/>
                <w:sz w:val="20"/>
                <w:lang w:eastAsia="en-GB"/>
              </w:rPr>
              <w:t>1.2.1. Identify suitable locations/regions/sectors to target through this action and include gender/youth assessment to identify constraints/opportunities for women and youths</w:t>
            </w:r>
          </w:p>
        </w:tc>
        <w:tc>
          <w:tcPr>
            <w:tcW w:w="1667" w:type="pct"/>
            <w:vMerge/>
            <w:tcBorders>
              <w:top w:val="nil"/>
              <w:right w:val="single" w:sz="4" w:space="0" w:color="auto"/>
            </w:tcBorders>
            <w:vAlign w:val="center"/>
            <w:hideMark/>
          </w:tcPr>
          <w:p w14:paraId="76073501"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0D895E81" w14:textId="77777777" w:rsidR="009A753C" w:rsidRPr="00F2213F" w:rsidRDefault="009A753C" w:rsidP="00214CB8">
            <w:pPr>
              <w:rPr>
                <w:b/>
                <w:bCs/>
                <w:color w:val="000000" w:themeColor="text1"/>
                <w:sz w:val="20"/>
                <w:lang w:eastAsia="en-GB"/>
              </w:rPr>
            </w:pPr>
          </w:p>
        </w:tc>
      </w:tr>
      <w:tr w:rsidR="009A753C" w:rsidRPr="00F2213F" w14:paraId="5819614D" w14:textId="77777777" w:rsidTr="00214CB8">
        <w:trPr>
          <w:trHeight w:val="500"/>
        </w:trPr>
        <w:tc>
          <w:tcPr>
            <w:tcW w:w="1667" w:type="pct"/>
            <w:tcBorders>
              <w:right w:val="single" w:sz="4" w:space="0" w:color="auto"/>
            </w:tcBorders>
            <w:vAlign w:val="center"/>
            <w:hideMark/>
          </w:tcPr>
          <w:p w14:paraId="63199DB1" w14:textId="77777777" w:rsidR="009A753C" w:rsidRPr="00F2213F" w:rsidRDefault="009A753C" w:rsidP="00214CB8">
            <w:pPr>
              <w:rPr>
                <w:color w:val="000000" w:themeColor="text1"/>
                <w:sz w:val="20"/>
                <w:lang w:eastAsia="en-GB"/>
              </w:rPr>
            </w:pPr>
            <w:r w:rsidRPr="00F2213F">
              <w:rPr>
                <w:color w:val="000000" w:themeColor="text1"/>
                <w:sz w:val="20"/>
                <w:lang w:eastAsia="en-GB"/>
              </w:rPr>
              <w:t>1.2.2. Identify and scope suitable SMEs (with consideration to potential clusters/sector and industry wide coordination)</w:t>
            </w:r>
          </w:p>
        </w:tc>
        <w:tc>
          <w:tcPr>
            <w:tcW w:w="1667" w:type="pct"/>
            <w:vMerge/>
            <w:tcBorders>
              <w:top w:val="nil"/>
              <w:right w:val="single" w:sz="4" w:space="0" w:color="auto"/>
            </w:tcBorders>
            <w:vAlign w:val="center"/>
            <w:hideMark/>
          </w:tcPr>
          <w:p w14:paraId="68C374AD"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2D6007D6" w14:textId="77777777" w:rsidR="009A753C" w:rsidRPr="00F2213F" w:rsidRDefault="009A753C" w:rsidP="00214CB8">
            <w:pPr>
              <w:rPr>
                <w:b/>
                <w:bCs/>
                <w:color w:val="000000" w:themeColor="text1"/>
                <w:sz w:val="20"/>
                <w:lang w:eastAsia="en-GB"/>
              </w:rPr>
            </w:pPr>
          </w:p>
        </w:tc>
      </w:tr>
      <w:tr w:rsidR="009A753C" w:rsidRPr="00F2213F" w14:paraId="0685248D" w14:textId="77777777" w:rsidTr="00214CB8">
        <w:trPr>
          <w:trHeight w:val="500"/>
        </w:trPr>
        <w:tc>
          <w:tcPr>
            <w:tcW w:w="1667" w:type="pct"/>
            <w:tcBorders>
              <w:right w:val="single" w:sz="4" w:space="0" w:color="auto"/>
            </w:tcBorders>
            <w:vAlign w:val="center"/>
            <w:hideMark/>
          </w:tcPr>
          <w:p w14:paraId="60B6A887" w14:textId="77777777" w:rsidR="009A753C" w:rsidRPr="00F2213F" w:rsidRDefault="009A753C" w:rsidP="00214CB8">
            <w:pPr>
              <w:rPr>
                <w:color w:val="000000" w:themeColor="text1"/>
                <w:sz w:val="20"/>
                <w:lang w:eastAsia="en-GB"/>
              </w:rPr>
            </w:pPr>
            <w:r w:rsidRPr="00F2213F">
              <w:rPr>
                <w:color w:val="000000" w:themeColor="text1"/>
                <w:sz w:val="20"/>
                <w:lang w:eastAsia="en-GB"/>
              </w:rPr>
              <w:t>1.2.3. Conduct capacity/needs assessment of SMEs</w:t>
            </w:r>
          </w:p>
        </w:tc>
        <w:tc>
          <w:tcPr>
            <w:tcW w:w="1667" w:type="pct"/>
            <w:vMerge/>
            <w:tcBorders>
              <w:top w:val="nil"/>
              <w:right w:val="single" w:sz="4" w:space="0" w:color="auto"/>
            </w:tcBorders>
            <w:vAlign w:val="center"/>
            <w:hideMark/>
          </w:tcPr>
          <w:p w14:paraId="5A6C2FEA"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0376FAEE" w14:textId="77777777" w:rsidR="009A753C" w:rsidRPr="00F2213F" w:rsidRDefault="009A753C" w:rsidP="00214CB8">
            <w:pPr>
              <w:rPr>
                <w:b/>
                <w:bCs/>
                <w:color w:val="000000" w:themeColor="text1"/>
                <w:sz w:val="20"/>
                <w:lang w:eastAsia="en-GB"/>
              </w:rPr>
            </w:pPr>
          </w:p>
        </w:tc>
      </w:tr>
      <w:tr w:rsidR="009A753C" w:rsidRPr="00F2213F" w14:paraId="0FDA218D" w14:textId="77777777" w:rsidTr="00214CB8">
        <w:trPr>
          <w:trHeight w:val="500"/>
        </w:trPr>
        <w:tc>
          <w:tcPr>
            <w:tcW w:w="1667" w:type="pct"/>
            <w:tcBorders>
              <w:right w:val="single" w:sz="4" w:space="0" w:color="auto"/>
            </w:tcBorders>
            <w:vAlign w:val="center"/>
            <w:hideMark/>
          </w:tcPr>
          <w:p w14:paraId="3CD7EF84"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1.2.4. Financial support for business growth to SMEs </w:t>
            </w:r>
          </w:p>
        </w:tc>
        <w:tc>
          <w:tcPr>
            <w:tcW w:w="1667" w:type="pct"/>
            <w:vMerge/>
            <w:tcBorders>
              <w:top w:val="nil"/>
              <w:right w:val="single" w:sz="4" w:space="0" w:color="auto"/>
            </w:tcBorders>
            <w:vAlign w:val="center"/>
            <w:hideMark/>
          </w:tcPr>
          <w:p w14:paraId="430C80EE"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1BB0C77" w14:textId="77777777" w:rsidR="009A753C" w:rsidRPr="00F2213F" w:rsidRDefault="009A753C" w:rsidP="00214CB8">
            <w:pPr>
              <w:rPr>
                <w:b/>
                <w:bCs/>
                <w:color w:val="000000" w:themeColor="text1"/>
                <w:sz w:val="20"/>
                <w:lang w:eastAsia="en-GB"/>
              </w:rPr>
            </w:pPr>
          </w:p>
        </w:tc>
      </w:tr>
      <w:tr w:rsidR="009A753C" w:rsidRPr="00F2213F" w14:paraId="2B87F918" w14:textId="77777777" w:rsidTr="00214CB8">
        <w:trPr>
          <w:trHeight w:val="500"/>
        </w:trPr>
        <w:tc>
          <w:tcPr>
            <w:tcW w:w="1667" w:type="pct"/>
            <w:tcBorders>
              <w:right w:val="single" w:sz="4" w:space="0" w:color="auto"/>
            </w:tcBorders>
            <w:vAlign w:val="center"/>
            <w:hideMark/>
          </w:tcPr>
          <w:p w14:paraId="3E45DC6A"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a) Call 1 launch and close: EoI – Basic eligibility questions + PACRA, ZRA, company profile / current business plan </w:t>
            </w:r>
          </w:p>
        </w:tc>
        <w:tc>
          <w:tcPr>
            <w:tcW w:w="1667" w:type="pct"/>
            <w:vMerge/>
            <w:tcBorders>
              <w:top w:val="nil"/>
              <w:right w:val="single" w:sz="4" w:space="0" w:color="auto"/>
            </w:tcBorders>
            <w:vAlign w:val="center"/>
            <w:hideMark/>
          </w:tcPr>
          <w:p w14:paraId="19259F35"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3597FC8" w14:textId="77777777" w:rsidR="009A753C" w:rsidRPr="00F2213F" w:rsidRDefault="009A753C" w:rsidP="00214CB8">
            <w:pPr>
              <w:rPr>
                <w:b/>
                <w:bCs/>
                <w:color w:val="000000" w:themeColor="text1"/>
                <w:sz w:val="20"/>
                <w:lang w:eastAsia="en-GB"/>
              </w:rPr>
            </w:pPr>
          </w:p>
        </w:tc>
      </w:tr>
      <w:tr w:rsidR="009A753C" w:rsidRPr="00F2213F" w14:paraId="73A23617" w14:textId="77777777" w:rsidTr="00214CB8">
        <w:trPr>
          <w:trHeight w:val="500"/>
        </w:trPr>
        <w:tc>
          <w:tcPr>
            <w:tcW w:w="1667" w:type="pct"/>
            <w:tcBorders>
              <w:right w:val="single" w:sz="4" w:space="0" w:color="auto"/>
            </w:tcBorders>
            <w:vAlign w:val="center"/>
            <w:hideMark/>
          </w:tcPr>
          <w:p w14:paraId="1A6BD49B"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b) Call 2 launch and close: EoI – Basic eligibility questions + PACRA, ZRA, company profile / current business plan </w:t>
            </w:r>
          </w:p>
        </w:tc>
        <w:tc>
          <w:tcPr>
            <w:tcW w:w="1667" w:type="pct"/>
            <w:vMerge/>
            <w:tcBorders>
              <w:top w:val="nil"/>
              <w:right w:val="single" w:sz="4" w:space="0" w:color="auto"/>
            </w:tcBorders>
            <w:vAlign w:val="center"/>
            <w:hideMark/>
          </w:tcPr>
          <w:p w14:paraId="35C7EB57"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19C48D0" w14:textId="77777777" w:rsidR="009A753C" w:rsidRPr="00F2213F" w:rsidRDefault="009A753C" w:rsidP="00214CB8">
            <w:pPr>
              <w:rPr>
                <w:b/>
                <w:bCs/>
                <w:color w:val="000000" w:themeColor="text1"/>
                <w:sz w:val="20"/>
                <w:lang w:eastAsia="en-GB"/>
              </w:rPr>
            </w:pPr>
          </w:p>
        </w:tc>
      </w:tr>
      <w:tr w:rsidR="009A753C" w:rsidRPr="00F2213F" w14:paraId="2DCE3B60" w14:textId="77777777" w:rsidTr="00214CB8">
        <w:trPr>
          <w:trHeight w:val="500"/>
        </w:trPr>
        <w:tc>
          <w:tcPr>
            <w:tcW w:w="1667" w:type="pct"/>
            <w:tcBorders>
              <w:right w:val="single" w:sz="4" w:space="0" w:color="auto"/>
            </w:tcBorders>
            <w:vAlign w:val="center"/>
            <w:hideMark/>
          </w:tcPr>
          <w:p w14:paraId="31020B17" w14:textId="77777777" w:rsidR="009A753C" w:rsidRPr="00F2213F" w:rsidRDefault="009A753C" w:rsidP="00214CB8">
            <w:pPr>
              <w:rPr>
                <w:color w:val="000000" w:themeColor="text1"/>
                <w:sz w:val="20"/>
                <w:lang w:eastAsia="en-GB"/>
              </w:rPr>
            </w:pPr>
            <w:r w:rsidRPr="00F2213F">
              <w:rPr>
                <w:color w:val="000000" w:themeColor="text1"/>
                <w:sz w:val="20"/>
                <w:lang w:eastAsia="en-GB"/>
              </w:rPr>
              <w:t>1.2.5. Facilitate development of green, circular, and digital economy value chains/cluster</w:t>
            </w:r>
          </w:p>
        </w:tc>
        <w:tc>
          <w:tcPr>
            <w:tcW w:w="1667" w:type="pct"/>
            <w:vMerge/>
            <w:tcBorders>
              <w:top w:val="nil"/>
              <w:right w:val="single" w:sz="4" w:space="0" w:color="auto"/>
            </w:tcBorders>
            <w:vAlign w:val="center"/>
            <w:hideMark/>
          </w:tcPr>
          <w:p w14:paraId="36703936"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0A4FADE1" w14:textId="77777777" w:rsidR="009A753C" w:rsidRPr="00F2213F" w:rsidRDefault="009A753C" w:rsidP="00214CB8">
            <w:pPr>
              <w:rPr>
                <w:b/>
                <w:bCs/>
                <w:color w:val="000000" w:themeColor="text1"/>
                <w:sz w:val="20"/>
                <w:lang w:eastAsia="en-GB"/>
              </w:rPr>
            </w:pPr>
          </w:p>
        </w:tc>
      </w:tr>
      <w:tr w:rsidR="009A753C" w:rsidRPr="00F2213F" w14:paraId="3F68DB0F" w14:textId="77777777" w:rsidTr="00214CB8">
        <w:trPr>
          <w:trHeight w:val="500"/>
        </w:trPr>
        <w:tc>
          <w:tcPr>
            <w:tcW w:w="1667" w:type="pct"/>
            <w:tcBorders>
              <w:right w:val="single" w:sz="4" w:space="0" w:color="auto"/>
            </w:tcBorders>
            <w:vAlign w:val="center"/>
            <w:hideMark/>
          </w:tcPr>
          <w:p w14:paraId="5BC892E9" w14:textId="77777777" w:rsidR="009A753C" w:rsidRPr="00F2213F" w:rsidRDefault="009A753C" w:rsidP="00214CB8">
            <w:pPr>
              <w:rPr>
                <w:color w:val="000000" w:themeColor="text1"/>
                <w:sz w:val="20"/>
                <w:lang w:eastAsia="en-GB"/>
              </w:rPr>
            </w:pPr>
            <w:r w:rsidRPr="00F2213F">
              <w:rPr>
                <w:color w:val="000000" w:themeColor="text1"/>
                <w:sz w:val="20"/>
                <w:lang w:eastAsia="en-GB"/>
              </w:rPr>
              <w:t>1.2.6. Identify and contract additional external technical support providers  </w:t>
            </w:r>
          </w:p>
        </w:tc>
        <w:tc>
          <w:tcPr>
            <w:tcW w:w="1667" w:type="pct"/>
            <w:vMerge/>
            <w:tcBorders>
              <w:top w:val="nil"/>
              <w:right w:val="single" w:sz="4" w:space="0" w:color="auto"/>
            </w:tcBorders>
            <w:vAlign w:val="center"/>
            <w:hideMark/>
          </w:tcPr>
          <w:p w14:paraId="38B8E7F6"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28A790C0" w14:textId="77777777" w:rsidR="009A753C" w:rsidRPr="00F2213F" w:rsidRDefault="009A753C" w:rsidP="00214CB8">
            <w:pPr>
              <w:rPr>
                <w:b/>
                <w:bCs/>
                <w:color w:val="000000" w:themeColor="text1"/>
                <w:sz w:val="20"/>
                <w:lang w:eastAsia="en-GB"/>
              </w:rPr>
            </w:pPr>
          </w:p>
        </w:tc>
      </w:tr>
      <w:tr w:rsidR="009A753C" w:rsidRPr="00F2213F" w14:paraId="6B9F26DE" w14:textId="77777777" w:rsidTr="00214CB8">
        <w:trPr>
          <w:trHeight w:val="500"/>
        </w:trPr>
        <w:tc>
          <w:tcPr>
            <w:tcW w:w="1667" w:type="pct"/>
            <w:tcBorders>
              <w:right w:val="single" w:sz="4" w:space="0" w:color="auto"/>
            </w:tcBorders>
            <w:vAlign w:val="center"/>
            <w:hideMark/>
          </w:tcPr>
          <w:p w14:paraId="34A8A8F7"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Op. 1.3. (FSPs): Financial Service Providers (FSPs)/investors offer increased number of products to green, circular and digital MSMEs</w:t>
            </w:r>
          </w:p>
        </w:tc>
        <w:tc>
          <w:tcPr>
            <w:tcW w:w="1667" w:type="pct"/>
            <w:vMerge/>
            <w:tcBorders>
              <w:top w:val="nil"/>
              <w:right w:val="single" w:sz="4" w:space="0" w:color="auto"/>
            </w:tcBorders>
            <w:vAlign w:val="center"/>
            <w:hideMark/>
          </w:tcPr>
          <w:p w14:paraId="4566CF64"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142F09FF" w14:textId="77777777" w:rsidR="009A753C" w:rsidRPr="00F2213F" w:rsidRDefault="009A753C" w:rsidP="00214CB8">
            <w:pPr>
              <w:rPr>
                <w:b/>
                <w:bCs/>
                <w:color w:val="000000" w:themeColor="text1"/>
                <w:sz w:val="20"/>
                <w:lang w:eastAsia="en-GB"/>
              </w:rPr>
            </w:pPr>
          </w:p>
        </w:tc>
      </w:tr>
      <w:tr w:rsidR="009A753C" w:rsidRPr="00F2213F" w14:paraId="5A41E5C8" w14:textId="77777777" w:rsidTr="00214CB8">
        <w:trPr>
          <w:trHeight w:val="500"/>
        </w:trPr>
        <w:tc>
          <w:tcPr>
            <w:tcW w:w="1667" w:type="pct"/>
            <w:tcBorders>
              <w:right w:val="single" w:sz="4" w:space="0" w:color="auto"/>
            </w:tcBorders>
            <w:vAlign w:val="center"/>
            <w:hideMark/>
          </w:tcPr>
          <w:p w14:paraId="53A30B6F"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1.3.1. Identify suitable external funding sources for MSMEs e.g. venture capital - scoping and mapping </w:t>
            </w:r>
          </w:p>
        </w:tc>
        <w:tc>
          <w:tcPr>
            <w:tcW w:w="1667" w:type="pct"/>
            <w:vMerge/>
            <w:tcBorders>
              <w:top w:val="nil"/>
              <w:right w:val="single" w:sz="4" w:space="0" w:color="auto"/>
            </w:tcBorders>
            <w:vAlign w:val="center"/>
            <w:hideMark/>
          </w:tcPr>
          <w:p w14:paraId="30FA73AC"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133458DE" w14:textId="77777777" w:rsidR="009A753C" w:rsidRPr="00F2213F" w:rsidRDefault="009A753C" w:rsidP="00214CB8">
            <w:pPr>
              <w:rPr>
                <w:b/>
                <w:bCs/>
                <w:color w:val="000000" w:themeColor="text1"/>
                <w:sz w:val="20"/>
                <w:lang w:eastAsia="en-GB"/>
              </w:rPr>
            </w:pPr>
          </w:p>
        </w:tc>
      </w:tr>
      <w:tr w:rsidR="009A753C" w:rsidRPr="00F2213F" w14:paraId="59121FE6" w14:textId="77777777" w:rsidTr="00214CB8">
        <w:trPr>
          <w:trHeight w:val="500"/>
        </w:trPr>
        <w:tc>
          <w:tcPr>
            <w:tcW w:w="1667" w:type="pct"/>
            <w:tcBorders>
              <w:right w:val="single" w:sz="4" w:space="0" w:color="auto"/>
            </w:tcBorders>
            <w:vAlign w:val="center"/>
            <w:hideMark/>
          </w:tcPr>
          <w:p w14:paraId="2D191F25" w14:textId="77777777" w:rsidR="009A753C" w:rsidRPr="00F2213F" w:rsidRDefault="009A753C" w:rsidP="00214CB8">
            <w:pPr>
              <w:rPr>
                <w:color w:val="000000" w:themeColor="text1"/>
                <w:sz w:val="20"/>
                <w:lang w:eastAsia="en-GB"/>
              </w:rPr>
            </w:pPr>
            <w:r w:rsidRPr="00F2213F">
              <w:rPr>
                <w:color w:val="000000" w:themeColor="text1"/>
                <w:sz w:val="20"/>
                <w:lang w:eastAsia="en-GB"/>
              </w:rPr>
              <w:t>1.3.2. Provide technical assistance to FSPs/investors about the green, circular, and digital economy</w:t>
            </w:r>
          </w:p>
        </w:tc>
        <w:tc>
          <w:tcPr>
            <w:tcW w:w="1667" w:type="pct"/>
            <w:vMerge/>
            <w:tcBorders>
              <w:top w:val="nil"/>
              <w:right w:val="single" w:sz="4" w:space="0" w:color="auto"/>
            </w:tcBorders>
            <w:vAlign w:val="center"/>
            <w:hideMark/>
          </w:tcPr>
          <w:p w14:paraId="37CCA117"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404CB03E" w14:textId="77777777" w:rsidR="009A753C" w:rsidRPr="00F2213F" w:rsidRDefault="009A753C" w:rsidP="00214CB8">
            <w:pPr>
              <w:rPr>
                <w:b/>
                <w:bCs/>
                <w:color w:val="000000" w:themeColor="text1"/>
                <w:sz w:val="20"/>
                <w:lang w:eastAsia="en-GB"/>
              </w:rPr>
            </w:pPr>
          </w:p>
        </w:tc>
      </w:tr>
      <w:tr w:rsidR="009A753C" w:rsidRPr="00F2213F" w14:paraId="0D29E89A" w14:textId="77777777" w:rsidTr="00214CB8">
        <w:trPr>
          <w:trHeight w:val="500"/>
        </w:trPr>
        <w:tc>
          <w:tcPr>
            <w:tcW w:w="1667" w:type="pct"/>
            <w:tcBorders>
              <w:right w:val="single" w:sz="4" w:space="0" w:color="auto"/>
            </w:tcBorders>
            <w:vAlign w:val="center"/>
            <w:hideMark/>
          </w:tcPr>
          <w:p w14:paraId="275EB18B" w14:textId="77777777" w:rsidR="009A753C" w:rsidRPr="00F2213F" w:rsidRDefault="009A753C" w:rsidP="00214CB8">
            <w:pPr>
              <w:rPr>
                <w:color w:val="000000" w:themeColor="text1"/>
                <w:sz w:val="20"/>
                <w:lang w:eastAsia="en-GB"/>
              </w:rPr>
            </w:pPr>
            <w:r w:rsidRPr="00F2213F">
              <w:rPr>
                <w:color w:val="000000" w:themeColor="text1"/>
                <w:sz w:val="20"/>
                <w:lang w:eastAsia="en-GB"/>
              </w:rPr>
              <w:t>1.3.3. Support FSPs/investors to develop and pilot new green financial products (includes providing grant support to FSPs)</w:t>
            </w:r>
          </w:p>
        </w:tc>
        <w:tc>
          <w:tcPr>
            <w:tcW w:w="1667" w:type="pct"/>
            <w:vMerge/>
            <w:tcBorders>
              <w:top w:val="nil"/>
              <w:right w:val="single" w:sz="4" w:space="0" w:color="auto"/>
            </w:tcBorders>
            <w:vAlign w:val="center"/>
            <w:hideMark/>
          </w:tcPr>
          <w:p w14:paraId="76CDE60D"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3FF88A4" w14:textId="77777777" w:rsidR="009A753C" w:rsidRPr="00F2213F" w:rsidRDefault="009A753C" w:rsidP="00214CB8">
            <w:pPr>
              <w:rPr>
                <w:b/>
                <w:bCs/>
                <w:color w:val="000000" w:themeColor="text1"/>
                <w:sz w:val="20"/>
                <w:lang w:eastAsia="en-GB"/>
              </w:rPr>
            </w:pPr>
          </w:p>
        </w:tc>
      </w:tr>
      <w:tr w:rsidR="009A753C" w:rsidRPr="00F2213F" w14:paraId="4010F684" w14:textId="77777777" w:rsidTr="00214CB8">
        <w:trPr>
          <w:trHeight w:val="500"/>
        </w:trPr>
        <w:tc>
          <w:tcPr>
            <w:tcW w:w="1667" w:type="pct"/>
            <w:tcBorders>
              <w:right w:val="single" w:sz="4" w:space="0" w:color="auto"/>
            </w:tcBorders>
            <w:vAlign w:val="center"/>
            <w:hideMark/>
          </w:tcPr>
          <w:p w14:paraId="1BCD1A70" w14:textId="77777777" w:rsidR="009A753C" w:rsidRPr="00F2213F" w:rsidRDefault="009A753C" w:rsidP="00214CB8">
            <w:pPr>
              <w:rPr>
                <w:color w:val="000000" w:themeColor="text1"/>
                <w:sz w:val="20"/>
                <w:lang w:eastAsia="en-GB"/>
              </w:rPr>
            </w:pPr>
            <w:r w:rsidRPr="00F2213F">
              <w:rPr>
                <w:color w:val="000000" w:themeColor="text1"/>
                <w:sz w:val="20"/>
                <w:lang w:eastAsia="en-GB"/>
              </w:rPr>
              <w:t>1.3.4. Facilitate linkages between MSMEs and FSPs/investors with green financing schemes</w:t>
            </w:r>
          </w:p>
        </w:tc>
        <w:tc>
          <w:tcPr>
            <w:tcW w:w="1667" w:type="pct"/>
            <w:vMerge/>
            <w:tcBorders>
              <w:top w:val="nil"/>
              <w:right w:val="single" w:sz="4" w:space="0" w:color="auto"/>
            </w:tcBorders>
            <w:vAlign w:val="center"/>
            <w:hideMark/>
          </w:tcPr>
          <w:p w14:paraId="267C00E6"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7E3B3298" w14:textId="77777777" w:rsidR="009A753C" w:rsidRPr="00F2213F" w:rsidRDefault="009A753C" w:rsidP="00214CB8">
            <w:pPr>
              <w:rPr>
                <w:b/>
                <w:bCs/>
                <w:color w:val="000000" w:themeColor="text1"/>
                <w:sz w:val="20"/>
                <w:lang w:eastAsia="en-GB"/>
              </w:rPr>
            </w:pPr>
          </w:p>
        </w:tc>
      </w:tr>
      <w:tr w:rsidR="009A753C" w:rsidRPr="00F2213F" w14:paraId="08D1612B" w14:textId="77777777" w:rsidTr="00214CB8">
        <w:trPr>
          <w:trHeight w:val="500"/>
        </w:trPr>
        <w:tc>
          <w:tcPr>
            <w:tcW w:w="1667" w:type="pct"/>
            <w:tcBorders>
              <w:right w:val="single" w:sz="4" w:space="0" w:color="auto"/>
            </w:tcBorders>
            <w:vAlign w:val="center"/>
            <w:hideMark/>
          </w:tcPr>
          <w:p w14:paraId="65CE052F"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OP1.4. (Private-Public Stakeholders): Peer-led private-public learning events are held, and policy briefs are developed to influence the green, circular and digital economy standards and practices</w:t>
            </w:r>
          </w:p>
        </w:tc>
        <w:tc>
          <w:tcPr>
            <w:tcW w:w="1667" w:type="pct"/>
            <w:vMerge/>
            <w:tcBorders>
              <w:top w:val="nil"/>
              <w:right w:val="single" w:sz="4" w:space="0" w:color="auto"/>
            </w:tcBorders>
            <w:vAlign w:val="center"/>
            <w:hideMark/>
          </w:tcPr>
          <w:p w14:paraId="2BA9D71C"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2DAE0A64" w14:textId="77777777" w:rsidR="009A753C" w:rsidRPr="00F2213F" w:rsidRDefault="009A753C" w:rsidP="00214CB8">
            <w:pPr>
              <w:rPr>
                <w:b/>
                <w:bCs/>
                <w:color w:val="000000" w:themeColor="text1"/>
                <w:sz w:val="20"/>
                <w:lang w:eastAsia="en-GB"/>
              </w:rPr>
            </w:pPr>
          </w:p>
        </w:tc>
      </w:tr>
      <w:tr w:rsidR="009A753C" w:rsidRPr="00F2213F" w14:paraId="4AAE7085" w14:textId="77777777" w:rsidTr="00214CB8">
        <w:trPr>
          <w:trHeight w:val="500"/>
        </w:trPr>
        <w:tc>
          <w:tcPr>
            <w:tcW w:w="1667" w:type="pct"/>
            <w:tcBorders>
              <w:right w:val="single" w:sz="4" w:space="0" w:color="auto"/>
            </w:tcBorders>
            <w:vAlign w:val="center"/>
            <w:hideMark/>
          </w:tcPr>
          <w:p w14:paraId="638962FE" w14:textId="77777777" w:rsidR="009A753C" w:rsidRPr="00F2213F" w:rsidRDefault="009A753C" w:rsidP="00214CB8">
            <w:pPr>
              <w:rPr>
                <w:color w:val="000000" w:themeColor="text1"/>
                <w:sz w:val="20"/>
                <w:lang w:eastAsia="en-GB"/>
              </w:rPr>
            </w:pPr>
            <w:r w:rsidRPr="00F2213F">
              <w:rPr>
                <w:color w:val="000000" w:themeColor="text1"/>
                <w:sz w:val="20"/>
                <w:lang w:eastAsia="en-GB"/>
              </w:rPr>
              <w:t>1.4.1. Host learning / dissemination events</w:t>
            </w:r>
          </w:p>
        </w:tc>
        <w:tc>
          <w:tcPr>
            <w:tcW w:w="1667" w:type="pct"/>
            <w:vMerge/>
            <w:tcBorders>
              <w:top w:val="nil"/>
              <w:right w:val="single" w:sz="4" w:space="0" w:color="auto"/>
            </w:tcBorders>
            <w:vAlign w:val="center"/>
            <w:hideMark/>
          </w:tcPr>
          <w:p w14:paraId="28A7A934"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4312FE31" w14:textId="77777777" w:rsidR="009A753C" w:rsidRPr="00F2213F" w:rsidRDefault="009A753C" w:rsidP="00214CB8">
            <w:pPr>
              <w:rPr>
                <w:b/>
                <w:bCs/>
                <w:color w:val="000000" w:themeColor="text1"/>
                <w:sz w:val="20"/>
                <w:lang w:eastAsia="en-GB"/>
              </w:rPr>
            </w:pPr>
          </w:p>
        </w:tc>
      </w:tr>
      <w:tr w:rsidR="009A753C" w:rsidRPr="00F2213F" w14:paraId="7BB70B88" w14:textId="77777777" w:rsidTr="00214CB8">
        <w:trPr>
          <w:trHeight w:val="510"/>
        </w:trPr>
        <w:tc>
          <w:tcPr>
            <w:tcW w:w="1667" w:type="pct"/>
            <w:tcBorders>
              <w:right w:val="single" w:sz="4" w:space="0" w:color="auto"/>
            </w:tcBorders>
            <w:vAlign w:val="center"/>
            <w:hideMark/>
          </w:tcPr>
          <w:p w14:paraId="211F8C8A" w14:textId="77777777" w:rsidR="009A753C" w:rsidRPr="00F2213F" w:rsidRDefault="009A753C" w:rsidP="00214CB8">
            <w:pPr>
              <w:rPr>
                <w:rFonts w:ascii="Arial" w:eastAsia="Arial" w:hAnsi="Arial" w:cs="Arial"/>
                <w:color w:val="000000" w:themeColor="text1"/>
                <w:sz w:val="20"/>
              </w:rPr>
            </w:pPr>
            <w:r w:rsidRPr="00F2213F">
              <w:rPr>
                <w:color w:val="000000" w:themeColor="text1"/>
                <w:sz w:val="20"/>
              </w:rPr>
              <w:t>1.4.2. Provide support to the African Circular Economy Network (ACEN) Zambian Chapter</w:t>
            </w:r>
          </w:p>
        </w:tc>
        <w:tc>
          <w:tcPr>
            <w:tcW w:w="1667" w:type="pct"/>
            <w:vMerge/>
            <w:tcBorders>
              <w:top w:val="nil"/>
              <w:right w:val="single" w:sz="4" w:space="0" w:color="auto"/>
            </w:tcBorders>
            <w:vAlign w:val="center"/>
            <w:hideMark/>
          </w:tcPr>
          <w:p w14:paraId="525F4507"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2BE7EE8B" w14:textId="77777777" w:rsidR="009A753C" w:rsidRPr="00F2213F" w:rsidRDefault="009A753C" w:rsidP="00214CB8">
            <w:pPr>
              <w:rPr>
                <w:b/>
                <w:bCs/>
                <w:color w:val="000000" w:themeColor="text1"/>
                <w:sz w:val="20"/>
                <w:lang w:eastAsia="en-GB"/>
              </w:rPr>
            </w:pPr>
          </w:p>
        </w:tc>
      </w:tr>
      <w:tr w:rsidR="009A753C" w:rsidRPr="00F2213F" w14:paraId="728785A9" w14:textId="77777777" w:rsidTr="00214CB8">
        <w:trPr>
          <w:trHeight w:val="500"/>
        </w:trPr>
        <w:tc>
          <w:tcPr>
            <w:tcW w:w="1667" w:type="pct"/>
            <w:tcBorders>
              <w:right w:val="single" w:sz="4" w:space="0" w:color="auto"/>
            </w:tcBorders>
            <w:vAlign w:val="center"/>
            <w:hideMark/>
          </w:tcPr>
          <w:p w14:paraId="384253B9" w14:textId="77777777" w:rsidR="009A753C" w:rsidRPr="00F2213F" w:rsidRDefault="009A753C" w:rsidP="00214CB8">
            <w:pPr>
              <w:rPr>
                <w:color w:val="000000" w:themeColor="text1"/>
                <w:sz w:val="20"/>
                <w:lang w:eastAsia="en-GB"/>
              </w:rPr>
            </w:pPr>
            <w:r w:rsidRPr="00F2213F">
              <w:rPr>
                <w:color w:val="000000" w:themeColor="text1"/>
                <w:sz w:val="20"/>
                <w:lang w:eastAsia="en-GB"/>
              </w:rPr>
              <w:t>1.4.3. Provide follow-up support to the EU-Zambia Economic Forum with the EU-Zambia Business Club</w:t>
            </w:r>
          </w:p>
        </w:tc>
        <w:tc>
          <w:tcPr>
            <w:tcW w:w="1667" w:type="pct"/>
            <w:vMerge/>
            <w:tcBorders>
              <w:top w:val="nil"/>
              <w:right w:val="single" w:sz="4" w:space="0" w:color="auto"/>
            </w:tcBorders>
            <w:vAlign w:val="center"/>
            <w:hideMark/>
          </w:tcPr>
          <w:p w14:paraId="6392A8A9"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0C5D4E0A" w14:textId="77777777" w:rsidR="009A753C" w:rsidRPr="00F2213F" w:rsidRDefault="009A753C" w:rsidP="00214CB8">
            <w:pPr>
              <w:rPr>
                <w:b/>
                <w:bCs/>
                <w:color w:val="000000" w:themeColor="text1"/>
                <w:sz w:val="20"/>
                <w:lang w:eastAsia="en-GB"/>
              </w:rPr>
            </w:pPr>
          </w:p>
        </w:tc>
      </w:tr>
      <w:tr w:rsidR="009A753C" w:rsidRPr="00F2213F" w14:paraId="49BECF95" w14:textId="77777777" w:rsidTr="00214CB8">
        <w:trPr>
          <w:trHeight w:val="500"/>
        </w:trPr>
        <w:tc>
          <w:tcPr>
            <w:tcW w:w="1667" w:type="pct"/>
            <w:tcBorders>
              <w:right w:val="single" w:sz="4" w:space="0" w:color="auto"/>
            </w:tcBorders>
            <w:vAlign w:val="center"/>
            <w:hideMark/>
          </w:tcPr>
          <w:p w14:paraId="541F8ECB" w14:textId="77777777" w:rsidR="009A753C" w:rsidRPr="00F2213F" w:rsidRDefault="009A753C" w:rsidP="00214CB8">
            <w:pPr>
              <w:rPr>
                <w:color w:val="000000" w:themeColor="text1"/>
                <w:sz w:val="20"/>
                <w:lang w:eastAsia="en-GB"/>
              </w:rPr>
            </w:pPr>
            <w:r w:rsidRPr="00F2213F">
              <w:rPr>
                <w:color w:val="000000" w:themeColor="text1"/>
                <w:sz w:val="20"/>
                <w:lang w:eastAsia="en-GB"/>
              </w:rPr>
              <w:t>1.4.4. Issue awards to the best green, circular, and digital economy MSMEs</w:t>
            </w:r>
          </w:p>
        </w:tc>
        <w:tc>
          <w:tcPr>
            <w:tcW w:w="1667" w:type="pct"/>
            <w:vMerge/>
            <w:tcBorders>
              <w:top w:val="nil"/>
              <w:right w:val="single" w:sz="4" w:space="0" w:color="auto"/>
            </w:tcBorders>
            <w:vAlign w:val="center"/>
            <w:hideMark/>
          </w:tcPr>
          <w:p w14:paraId="59B5D8E3"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304E5FD2" w14:textId="77777777" w:rsidR="009A753C" w:rsidRPr="00F2213F" w:rsidRDefault="009A753C" w:rsidP="00214CB8">
            <w:pPr>
              <w:rPr>
                <w:b/>
                <w:bCs/>
                <w:color w:val="000000" w:themeColor="text1"/>
                <w:sz w:val="20"/>
                <w:lang w:eastAsia="en-GB"/>
              </w:rPr>
            </w:pPr>
          </w:p>
        </w:tc>
      </w:tr>
      <w:tr w:rsidR="009A753C" w:rsidRPr="00F2213F" w14:paraId="7F025454" w14:textId="77777777" w:rsidTr="00214CB8">
        <w:trPr>
          <w:trHeight w:val="500"/>
        </w:trPr>
        <w:tc>
          <w:tcPr>
            <w:tcW w:w="1667" w:type="pct"/>
            <w:tcBorders>
              <w:right w:val="single" w:sz="4" w:space="0" w:color="auto"/>
            </w:tcBorders>
            <w:vAlign w:val="center"/>
            <w:hideMark/>
          </w:tcPr>
          <w:p w14:paraId="382E6E3B" w14:textId="77777777" w:rsidR="009A753C" w:rsidRPr="00F2213F" w:rsidRDefault="009A753C" w:rsidP="00214CB8">
            <w:pPr>
              <w:rPr>
                <w:color w:val="000000" w:themeColor="text1"/>
                <w:sz w:val="20"/>
                <w:lang w:eastAsia="en-GB"/>
              </w:rPr>
            </w:pPr>
            <w:r w:rsidRPr="00F2213F">
              <w:rPr>
                <w:color w:val="000000" w:themeColor="text1"/>
                <w:sz w:val="20"/>
                <w:lang w:eastAsia="en-GB"/>
              </w:rPr>
              <w:t>1.4.5. Develop and publish policy and learning briefs on the green, circular, digital economy &amp; critical raw materials</w:t>
            </w:r>
          </w:p>
        </w:tc>
        <w:tc>
          <w:tcPr>
            <w:tcW w:w="1667" w:type="pct"/>
            <w:vMerge/>
            <w:tcBorders>
              <w:top w:val="nil"/>
              <w:right w:val="single" w:sz="4" w:space="0" w:color="auto"/>
            </w:tcBorders>
            <w:vAlign w:val="center"/>
            <w:hideMark/>
          </w:tcPr>
          <w:p w14:paraId="6847A4DF"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1F8CFE3E" w14:textId="77777777" w:rsidR="009A753C" w:rsidRPr="00F2213F" w:rsidRDefault="009A753C" w:rsidP="00214CB8">
            <w:pPr>
              <w:rPr>
                <w:b/>
                <w:bCs/>
                <w:color w:val="000000" w:themeColor="text1"/>
                <w:sz w:val="20"/>
                <w:lang w:eastAsia="en-GB"/>
              </w:rPr>
            </w:pPr>
          </w:p>
        </w:tc>
      </w:tr>
      <w:tr w:rsidR="009A753C" w:rsidRPr="00F2213F" w14:paraId="5F813923" w14:textId="77777777" w:rsidTr="00214CB8">
        <w:trPr>
          <w:trHeight w:val="500"/>
        </w:trPr>
        <w:tc>
          <w:tcPr>
            <w:tcW w:w="1667" w:type="pct"/>
            <w:tcBorders>
              <w:right w:val="single" w:sz="4" w:space="0" w:color="auto"/>
            </w:tcBorders>
            <w:vAlign w:val="center"/>
            <w:hideMark/>
          </w:tcPr>
          <w:p w14:paraId="176A297B" w14:textId="77777777" w:rsidR="009A753C" w:rsidRPr="00F2213F" w:rsidRDefault="009A753C" w:rsidP="00214CB8">
            <w:pPr>
              <w:rPr>
                <w:color w:val="000000" w:themeColor="text1"/>
                <w:sz w:val="20"/>
                <w:lang w:eastAsia="en-GB"/>
              </w:rPr>
            </w:pPr>
            <w:r w:rsidRPr="00F2213F">
              <w:rPr>
                <w:color w:val="000000" w:themeColor="text1"/>
                <w:sz w:val="20"/>
                <w:lang w:eastAsia="en-GB"/>
              </w:rPr>
              <w:t>1.4.6. Arrange and facilitate public-private sector dialogue </w:t>
            </w:r>
          </w:p>
        </w:tc>
        <w:tc>
          <w:tcPr>
            <w:tcW w:w="1667" w:type="pct"/>
            <w:vMerge/>
            <w:tcBorders>
              <w:top w:val="nil"/>
              <w:right w:val="single" w:sz="4" w:space="0" w:color="auto"/>
            </w:tcBorders>
            <w:vAlign w:val="center"/>
            <w:hideMark/>
          </w:tcPr>
          <w:p w14:paraId="5EC61D09"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7154DBCD" w14:textId="77777777" w:rsidR="009A753C" w:rsidRPr="00F2213F" w:rsidRDefault="009A753C" w:rsidP="00214CB8">
            <w:pPr>
              <w:rPr>
                <w:b/>
                <w:bCs/>
                <w:color w:val="000000" w:themeColor="text1"/>
                <w:sz w:val="20"/>
                <w:lang w:eastAsia="en-GB"/>
              </w:rPr>
            </w:pPr>
          </w:p>
        </w:tc>
      </w:tr>
      <w:tr w:rsidR="009A753C" w:rsidRPr="00F2213F" w14:paraId="1E3F888E" w14:textId="77777777" w:rsidTr="00214CB8">
        <w:trPr>
          <w:trHeight w:val="500"/>
        </w:trPr>
        <w:tc>
          <w:tcPr>
            <w:tcW w:w="1667" w:type="pct"/>
            <w:tcBorders>
              <w:right w:val="single" w:sz="4" w:space="0" w:color="auto"/>
            </w:tcBorders>
            <w:vAlign w:val="center"/>
            <w:hideMark/>
          </w:tcPr>
          <w:p w14:paraId="7B79E2AE"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OP2.1. (BDSPs): Business Development Service Providers (BDSPs) use technical assistance and grant support to increase the provision of services to MSMEs particularly in the green, circular and digital economy</w:t>
            </w:r>
          </w:p>
        </w:tc>
        <w:tc>
          <w:tcPr>
            <w:tcW w:w="1667" w:type="pct"/>
            <w:vMerge/>
            <w:tcBorders>
              <w:top w:val="nil"/>
              <w:right w:val="single" w:sz="4" w:space="0" w:color="auto"/>
            </w:tcBorders>
            <w:vAlign w:val="center"/>
            <w:hideMark/>
          </w:tcPr>
          <w:p w14:paraId="0DFA2DCB"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1BB6C88" w14:textId="77777777" w:rsidR="009A753C" w:rsidRPr="00F2213F" w:rsidRDefault="009A753C" w:rsidP="00214CB8">
            <w:pPr>
              <w:rPr>
                <w:b/>
                <w:bCs/>
                <w:color w:val="000000" w:themeColor="text1"/>
                <w:sz w:val="20"/>
                <w:lang w:eastAsia="en-GB"/>
              </w:rPr>
            </w:pPr>
          </w:p>
        </w:tc>
      </w:tr>
      <w:tr w:rsidR="009A753C" w:rsidRPr="00F2213F" w14:paraId="45A1585F" w14:textId="77777777" w:rsidTr="00214CB8">
        <w:trPr>
          <w:trHeight w:val="500"/>
        </w:trPr>
        <w:tc>
          <w:tcPr>
            <w:tcW w:w="1667" w:type="pct"/>
            <w:tcBorders>
              <w:right w:val="single" w:sz="4" w:space="0" w:color="auto"/>
            </w:tcBorders>
            <w:vAlign w:val="center"/>
            <w:hideMark/>
          </w:tcPr>
          <w:p w14:paraId="06667FB0" w14:textId="77777777" w:rsidR="009A753C" w:rsidRPr="00F2213F" w:rsidRDefault="009A753C" w:rsidP="00214CB8">
            <w:pPr>
              <w:rPr>
                <w:color w:val="000000" w:themeColor="text1"/>
                <w:sz w:val="20"/>
                <w:lang w:eastAsia="en-GB"/>
              </w:rPr>
            </w:pPr>
            <w:r w:rsidRPr="00F2213F">
              <w:rPr>
                <w:color w:val="000000" w:themeColor="text1"/>
                <w:sz w:val="20"/>
                <w:lang w:eastAsia="en-GB"/>
              </w:rPr>
              <w:t>2.1.1. Identify BDSPs with potential to support MSMEs in the green, circular, and digital economy; scoping and mapping</w:t>
            </w:r>
          </w:p>
        </w:tc>
        <w:tc>
          <w:tcPr>
            <w:tcW w:w="1667" w:type="pct"/>
            <w:vMerge/>
            <w:tcBorders>
              <w:top w:val="nil"/>
              <w:right w:val="single" w:sz="4" w:space="0" w:color="auto"/>
            </w:tcBorders>
            <w:vAlign w:val="center"/>
            <w:hideMark/>
          </w:tcPr>
          <w:p w14:paraId="253D3D15"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395D26AC" w14:textId="77777777" w:rsidR="009A753C" w:rsidRPr="00F2213F" w:rsidRDefault="009A753C" w:rsidP="00214CB8">
            <w:pPr>
              <w:rPr>
                <w:b/>
                <w:bCs/>
                <w:color w:val="000000" w:themeColor="text1"/>
                <w:sz w:val="20"/>
                <w:lang w:eastAsia="en-GB"/>
              </w:rPr>
            </w:pPr>
          </w:p>
        </w:tc>
      </w:tr>
      <w:tr w:rsidR="009A753C" w:rsidRPr="00F2213F" w14:paraId="124C4659" w14:textId="77777777" w:rsidTr="00214CB8">
        <w:trPr>
          <w:trHeight w:val="500"/>
        </w:trPr>
        <w:tc>
          <w:tcPr>
            <w:tcW w:w="1667" w:type="pct"/>
            <w:tcBorders>
              <w:right w:val="single" w:sz="4" w:space="0" w:color="auto"/>
            </w:tcBorders>
            <w:vAlign w:val="center"/>
            <w:hideMark/>
          </w:tcPr>
          <w:p w14:paraId="59C7FDB7" w14:textId="77777777" w:rsidR="009A753C" w:rsidRPr="00F2213F" w:rsidRDefault="009A753C" w:rsidP="00214CB8">
            <w:pPr>
              <w:rPr>
                <w:color w:val="000000" w:themeColor="text1"/>
                <w:sz w:val="20"/>
                <w:lang w:eastAsia="en-GB"/>
              </w:rPr>
            </w:pPr>
            <w:r w:rsidRPr="00F2213F">
              <w:rPr>
                <w:color w:val="000000" w:themeColor="text1"/>
                <w:sz w:val="20"/>
                <w:lang w:eastAsia="en-GB"/>
              </w:rPr>
              <w:t>2.1.2. Recruit BDSPs via request for expressions of interest in green, circular, and digital economy</w:t>
            </w:r>
          </w:p>
        </w:tc>
        <w:tc>
          <w:tcPr>
            <w:tcW w:w="1667" w:type="pct"/>
            <w:vMerge/>
            <w:tcBorders>
              <w:top w:val="nil"/>
              <w:right w:val="single" w:sz="4" w:space="0" w:color="auto"/>
            </w:tcBorders>
            <w:vAlign w:val="center"/>
            <w:hideMark/>
          </w:tcPr>
          <w:p w14:paraId="685D4113"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C966FCF" w14:textId="77777777" w:rsidR="009A753C" w:rsidRPr="00F2213F" w:rsidRDefault="009A753C" w:rsidP="00214CB8">
            <w:pPr>
              <w:rPr>
                <w:b/>
                <w:bCs/>
                <w:color w:val="000000" w:themeColor="text1"/>
                <w:sz w:val="20"/>
                <w:lang w:eastAsia="en-GB"/>
              </w:rPr>
            </w:pPr>
          </w:p>
        </w:tc>
      </w:tr>
      <w:tr w:rsidR="009A753C" w:rsidRPr="00F2213F" w14:paraId="732F2BDB" w14:textId="77777777" w:rsidTr="00214CB8">
        <w:trPr>
          <w:trHeight w:val="500"/>
        </w:trPr>
        <w:tc>
          <w:tcPr>
            <w:tcW w:w="1667" w:type="pct"/>
            <w:tcBorders>
              <w:right w:val="single" w:sz="4" w:space="0" w:color="auto"/>
            </w:tcBorders>
            <w:vAlign w:val="center"/>
            <w:hideMark/>
          </w:tcPr>
          <w:p w14:paraId="13337843" w14:textId="77777777" w:rsidR="009A753C" w:rsidRPr="00F2213F" w:rsidRDefault="009A753C" w:rsidP="00214CB8">
            <w:pPr>
              <w:rPr>
                <w:color w:val="000000" w:themeColor="text1"/>
                <w:sz w:val="20"/>
                <w:lang w:eastAsia="en-GB"/>
              </w:rPr>
            </w:pPr>
            <w:r w:rsidRPr="00F2213F">
              <w:rPr>
                <w:color w:val="000000" w:themeColor="text1"/>
                <w:sz w:val="20"/>
                <w:lang w:eastAsia="en-GB"/>
              </w:rPr>
              <w:t>2.1.3. Provide technical assistance to BDSPs to strengthen their knowledge on the green, circular, and digital economy</w:t>
            </w:r>
          </w:p>
        </w:tc>
        <w:tc>
          <w:tcPr>
            <w:tcW w:w="1667" w:type="pct"/>
            <w:vMerge/>
            <w:tcBorders>
              <w:top w:val="nil"/>
              <w:right w:val="single" w:sz="4" w:space="0" w:color="auto"/>
            </w:tcBorders>
            <w:vAlign w:val="center"/>
            <w:hideMark/>
          </w:tcPr>
          <w:p w14:paraId="38995119"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6CC8ECBE" w14:textId="77777777" w:rsidR="009A753C" w:rsidRPr="00F2213F" w:rsidRDefault="009A753C" w:rsidP="00214CB8">
            <w:pPr>
              <w:rPr>
                <w:b/>
                <w:bCs/>
                <w:color w:val="000000" w:themeColor="text1"/>
                <w:sz w:val="20"/>
                <w:lang w:eastAsia="en-GB"/>
              </w:rPr>
            </w:pPr>
          </w:p>
        </w:tc>
      </w:tr>
      <w:tr w:rsidR="009A753C" w:rsidRPr="00F2213F" w14:paraId="14E1DA18" w14:textId="77777777" w:rsidTr="00214CB8">
        <w:trPr>
          <w:trHeight w:val="500"/>
        </w:trPr>
        <w:tc>
          <w:tcPr>
            <w:tcW w:w="1667" w:type="pct"/>
            <w:tcBorders>
              <w:right w:val="single" w:sz="4" w:space="0" w:color="auto"/>
            </w:tcBorders>
            <w:vAlign w:val="center"/>
            <w:hideMark/>
          </w:tcPr>
          <w:p w14:paraId="73B2740E" w14:textId="77777777" w:rsidR="009A753C" w:rsidRPr="00F2213F" w:rsidRDefault="009A753C" w:rsidP="00214CB8">
            <w:pPr>
              <w:rPr>
                <w:color w:val="000000" w:themeColor="text1"/>
                <w:sz w:val="20"/>
                <w:lang w:eastAsia="en-GB"/>
              </w:rPr>
            </w:pPr>
            <w:r w:rsidRPr="00F2213F">
              <w:rPr>
                <w:color w:val="000000" w:themeColor="text1"/>
                <w:sz w:val="20"/>
                <w:lang w:eastAsia="en-GB"/>
              </w:rPr>
              <w:t>2.1.4. Financial support: run call for proposals and issue grants to BDSPs</w:t>
            </w:r>
          </w:p>
        </w:tc>
        <w:tc>
          <w:tcPr>
            <w:tcW w:w="1667" w:type="pct"/>
            <w:vMerge/>
            <w:tcBorders>
              <w:top w:val="nil"/>
              <w:right w:val="single" w:sz="4" w:space="0" w:color="auto"/>
            </w:tcBorders>
            <w:vAlign w:val="center"/>
            <w:hideMark/>
          </w:tcPr>
          <w:p w14:paraId="201B34E6"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4EC9201D" w14:textId="77777777" w:rsidR="009A753C" w:rsidRPr="00F2213F" w:rsidRDefault="009A753C" w:rsidP="00214CB8">
            <w:pPr>
              <w:rPr>
                <w:b/>
                <w:bCs/>
                <w:color w:val="000000" w:themeColor="text1"/>
                <w:sz w:val="20"/>
                <w:lang w:eastAsia="en-GB"/>
              </w:rPr>
            </w:pPr>
          </w:p>
        </w:tc>
      </w:tr>
      <w:tr w:rsidR="009A753C" w:rsidRPr="00F2213F" w14:paraId="2F0C5615" w14:textId="77777777" w:rsidTr="00214CB8">
        <w:trPr>
          <w:trHeight w:val="500"/>
        </w:trPr>
        <w:tc>
          <w:tcPr>
            <w:tcW w:w="1667" w:type="pct"/>
            <w:tcBorders>
              <w:right w:val="single" w:sz="4" w:space="0" w:color="auto"/>
            </w:tcBorders>
            <w:vAlign w:val="center"/>
            <w:hideMark/>
          </w:tcPr>
          <w:p w14:paraId="3778913A"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OP2.2. (TVET Providers): Technical and Vocational Education and Training (TVET) providers increase the quality of skills training and development opportunities for a green, circular and digital economy workforce</w:t>
            </w:r>
          </w:p>
        </w:tc>
        <w:tc>
          <w:tcPr>
            <w:tcW w:w="1667" w:type="pct"/>
            <w:vMerge/>
            <w:tcBorders>
              <w:top w:val="nil"/>
              <w:right w:val="single" w:sz="4" w:space="0" w:color="auto"/>
            </w:tcBorders>
            <w:vAlign w:val="center"/>
            <w:hideMark/>
          </w:tcPr>
          <w:p w14:paraId="276834FD"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63C59C5C" w14:textId="77777777" w:rsidR="009A753C" w:rsidRPr="00F2213F" w:rsidRDefault="009A753C" w:rsidP="00214CB8">
            <w:pPr>
              <w:rPr>
                <w:b/>
                <w:bCs/>
                <w:color w:val="000000" w:themeColor="text1"/>
                <w:sz w:val="20"/>
                <w:lang w:eastAsia="en-GB"/>
              </w:rPr>
            </w:pPr>
          </w:p>
        </w:tc>
      </w:tr>
      <w:tr w:rsidR="009A753C" w:rsidRPr="00F2213F" w14:paraId="2A5187FB" w14:textId="77777777" w:rsidTr="00214CB8">
        <w:trPr>
          <w:trHeight w:val="500"/>
        </w:trPr>
        <w:tc>
          <w:tcPr>
            <w:tcW w:w="1667" w:type="pct"/>
            <w:tcBorders>
              <w:right w:val="single" w:sz="4" w:space="0" w:color="auto"/>
            </w:tcBorders>
            <w:vAlign w:val="center"/>
            <w:hideMark/>
          </w:tcPr>
          <w:p w14:paraId="074F233F" w14:textId="77777777" w:rsidR="009A753C" w:rsidRPr="00F2213F" w:rsidRDefault="009A753C" w:rsidP="00214CB8">
            <w:pPr>
              <w:rPr>
                <w:color w:val="000000" w:themeColor="text1"/>
                <w:sz w:val="20"/>
                <w:lang w:eastAsia="en-GB"/>
              </w:rPr>
            </w:pPr>
            <w:r w:rsidRPr="00F2213F">
              <w:rPr>
                <w:color w:val="000000" w:themeColor="text1"/>
                <w:sz w:val="20"/>
                <w:lang w:eastAsia="en-GB"/>
              </w:rPr>
              <w:t>2.2.1. Identify suitable locations and TVET providers; scoping and mapping</w:t>
            </w:r>
          </w:p>
        </w:tc>
        <w:tc>
          <w:tcPr>
            <w:tcW w:w="1667" w:type="pct"/>
            <w:vMerge/>
            <w:tcBorders>
              <w:top w:val="nil"/>
              <w:right w:val="single" w:sz="4" w:space="0" w:color="auto"/>
            </w:tcBorders>
            <w:vAlign w:val="center"/>
            <w:hideMark/>
          </w:tcPr>
          <w:p w14:paraId="0207E389"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03B0A25D" w14:textId="77777777" w:rsidR="009A753C" w:rsidRPr="00F2213F" w:rsidRDefault="009A753C" w:rsidP="00214CB8">
            <w:pPr>
              <w:rPr>
                <w:b/>
                <w:bCs/>
                <w:color w:val="000000" w:themeColor="text1"/>
                <w:sz w:val="20"/>
                <w:lang w:eastAsia="en-GB"/>
              </w:rPr>
            </w:pPr>
          </w:p>
        </w:tc>
      </w:tr>
      <w:tr w:rsidR="009A753C" w:rsidRPr="00F2213F" w14:paraId="6DDD469F" w14:textId="77777777" w:rsidTr="00214CB8">
        <w:trPr>
          <w:trHeight w:val="500"/>
        </w:trPr>
        <w:tc>
          <w:tcPr>
            <w:tcW w:w="1667" w:type="pct"/>
            <w:tcBorders>
              <w:right w:val="single" w:sz="4" w:space="0" w:color="auto"/>
            </w:tcBorders>
            <w:vAlign w:val="center"/>
            <w:hideMark/>
          </w:tcPr>
          <w:p w14:paraId="14DA6984" w14:textId="77777777" w:rsidR="009A753C" w:rsidRPr="00F2213F" w:rsidRDefault="009A753C" w:rsidP="00214CB8">
            <w:pPr>
              <w:rPr>
                <w:color w:val="000000" w:themeColor="text1"/>
                <w:sz w:val="20"/>
                <w:lang w:eastAsia="en-GB"/>
              </w:rPr>
            </w:pPr>
            <w:r w:rsidRPr="00F2213F">
              <w:rPr>
                <w:color w:val="000000" w:themeColor="text1"/>
                <w:sz w:val="20"/>
                <w:lang w:eastAsia="en-GB"/>
              </w:rPr>
              <w:t>2.2.2. Develop green, circular, and digital economy teaching modules for use by TVET providers</w:t>
            </w:r>
          </w:p>
        </w:tc>
        <w:tc>
          <w:tcPr>
            <w:tcW w:w="1667" w:type="pct"/>
            <w:vMerge/>
            <w:tcBorders>
              <w:top w:val="nil"/>
              <w:right w:val="single" w:sz="4" w:space="0" w:color="auto"/>
            </w:tcBorders>
            <w:vAlign w:val="center"/>
            <w:hideMark/>
          </w:tcPr>
          <w:p w14:paraId="1A0EA02B"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3E235E16" w14:textId="77777777" w:rsidR="009A753C" w:rsidRPr="00F2213F" w:rsidRDefault="009A753C" w:rsidP="00214CB8">
            <w:pPr>
              <w:rPr>
                <w:b/>
                <w:bCs/>
                <w:color w:val="000000" w:themeColor="text1"/>
                <w:sz w:val="20"/>
                <w:lang w:eastAsia="en-GB"/>
              </w:rPr>
            </w:pPr>
          </w:p>
        </w:tc>
      </w:tr>
      <w:tr w:rsidR="009A753C" w:rsidRPr="00F2213F" w14:paraId="06DE1E22" w14:textId="77777777" w:rsidTr="00214CB8">
        <w:trPr>
          <w:trHeight w:val="500"/>
        </w:trPr>
        <w:tc>
          <w:tcPr>
            <w:tcW w:w="1667" w:type="pct"/>
            <w:tcBorders>
              <w:right w:val="single" w:sz="4" w:space="0" w:color="auto"/>
            </w:tcBorders>
            <w:vAlign w:val="center"/>
            <w:hideMark/>
          </w:tcPr>
          <w:p w14:paraId="5CEB3500"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2.2.3.  Establish two fabrication laboratories (FabLabs) </w:t>
            </w:r>
          </w:p>
        </w:tc>
        <w:tc>
          <w:tcPr>
            <w:tcW w:w="1667" w:type="pct"/>
            <w:vMerge/>
            <w:tcBorders>
              <w:top w:val="nil"/>
              <w:right w:val="single" w:sz="4" w:space="0" w:color="auto"/>
            </w:tcBorders>
            <w:vAlign w:val="center"/>
            <w:hideMark/>
          </w:tcPr>
          <w:p w14:paraId="465D28ED"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7EF7E376" w14:textId="77777777" w:rsidR="009A753C" w:rsidRPr="00F2213F" w:rsidRDefault="009A753C" w:rsidP="00214CB8">
            <w:pPr>
              <w:rPr>
                <w:b/>
                <w:bCs/>
                <w:color w:val="000000" w:themeColor="text1"/>
                <w:sz w:val="20"/>
                <w:lang w:eastAsia="en-GB"/>
              </w:rPr>
            </w:pPr>
          </w:p>
        </w:tc>
      </w:tr>
      <w:tr w:rsidR="009A753C" w:rsidRPr="00F2213F" w14:paraId="5CF5C47B" w14:textId="77777777" w:rsidTr="00214CB8">
        <w:trPr>
          <w:trHeight w:val="240"/>
        </w:trPr>
        <w:tc>
          <w:tcPr>
            <w:tcW w:w="1667" w:type="pct"/>
            <w:tcBorders>
              <w:right w:val="single" w:sz="4" w:space="0" w:color="auto"/>
            </w:tcBorders>
            <w:vAlign w:val="center"/>
            <w:hideMark/>
          </w:tcPr>
          <w:p w14:paraId="12369FFF" w14:textId="77777777" w:rsidR="009A753C" w:rsidRPr="00F2213F" w:rsidRDefault="009A753C" w:rsidP="00214CB8">
            <w:pPr>
              <w:rPr>
                <w:color w:val="000000" w:themeColor="text1"/>
                <w:sz w:val="20"/>
                <w:lang w:eastAsia="en-GB"/>
              </w:rPr>
            </w:pPr>
            <w:r w:rsidRPr="00F2213F">
              <w:rPr>
                <w:color w:val="000000" w:themeColor="text1"/>
                <w:sz w:val="20"/>
                <w:lang w:eastAsia="en-GB"/>
              </w:rPr>
              <w:t>2.2.2. Develop green, circular, and digital economy teaching modules for use by TVET providers</w:t>
            </w:r>
          </w:p>
        </w:tc>
        <w:tc>
          <w:tcPr>
            <w:tcW w:w="1667" w:type="pct"/>
            <w:vMerge/>
            <w:tcBorders>
              <w:top w:val="nil"/>
              <w:right w:val="single" w:sz="4" w:space="0" w:color="auto"/>
            </w:tcBorders>
            <w:vAlign w:val="center"/>
            <w:hideMark/>
          </w:tcPr>
          <w:p w14:paraId="54A4C277"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4FC53E59" w14:textId="77777777" w:rsidR="009A753C" w:rsidRPr="00F2213F" w:rsidRDefault="009A753C" w:rsidP="00214CB8">
            <w:pPr>
              <w:rPr>
                <w:b/>
                <w:bCs/>
                <w:color w:val="000000" w:themeColor="text1"/>
                <w:sz w:val="20"/>
                <w:lang w:eastAsia="en-GB"/>
              </w:rPr>
            </w:pPr>
          </w:p>
        </w:tc>
      </w:tr>
      <w:tr w:rsidR="009A753C" w:rsidRPr="00F2213F" w14:paraId="4EBA6C19" w14:textId="77777777" w:rsidTr="00214CB8">
        <w:trPr>
          <w:trHeight w:val="240"/>
        </w:trPr>
        <w:tc>
          <w:tcPr>
            <w:tcW w:w="1667" w:type="pct"/>
            <w:tcBorders>
              <w:right w:val="single" w:sz="4" w:space="0" w:color="auto"/>
            </w:tcBorders>
            <w:vAlign w:val="center"/>
            <w:hideMark/>
          </w:tcPr>
          <w:p w14:paraId="5B7F8EF4" w14:textId="77777777" w:rsidR="009A753C" w:rsidRPr="00F2213F" w:rsidRDefault="009A753C" w:rsidP="00214CB8">
            <w:pPr>
              <w:rPr>
                <w:color w:val="000000" w:themeColor="text1"/>
                <w:sz w:val="20"/>
                <w:lang w:eastAsia="en-GB"/>
              </w:rPr>
            </w:pPr>
            <w:r w:rsidRPr="00F2213F">
              <w:rPr>
                <w:color w:val="000000" w:themeColor="text1"/>
                <w:sz w:val="20"/>
                <w:lang w:eastAsia="en-GB"/>
              </w:rPr>
              <w:t xml:space="preserve">2.2.3.  Establish two fabrication laboratories (FabLabs) </w:t>
            </w:r>
          </w:p>
        </w:tc>
        <w:tc>
          <w:tcPr>
            <w:tcW w:w="1667" w:type="pct"/>
            <w:vMerge/>
            <w:tcBorders>
              <w:top w:val="nil"/>
              <w:right w:val="single" w:sz="4" w:space="0" w:color="auto"/>
            </w:tcBorders>
            <w:vAlign w:val="center"/>
            <w:hideMark/>
          </w:tcPr>
          <w:p w14:paraId="479C128A"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49800130" w14:textId="77777777" w:rsidR="009A753C" w:rsidRPr="00F2213F" w:rsidRDefault="009A753C" w:rsidP="00214CB8">
            <w:pPr>
              <w:rPr>
                <w:b/>
                <w:bCs/>
                <w:color w:val="000000" w:themeColor="text1"/>
                <w:sz w:val="20"/>
                <w:lang w:eastAsia="en-GB"/>
              </w:rPr>
            </w:pPr>
          </w:p>
        </w:tc>
      </w:tr>
      <w:tr w:rsidR="009A753C" w:rsidRPr="00F2213F" w14:paraId="0CE2E98F" w14:textId="77777777" w:rsidTr="00214CB8">
        <w:trPr>
          <w:trHeight w:val="240"/>
        </w:trPr>
        <w:tc>
          <w:tcPr>
            <w:tcW w:w="1667" w:type="pct"/>
            <w:tcBorders>
              <w:right w:val="single" w:sz="4" w:space="0" w:color="auto"/>
            </w:tcBorders>
            <w:vAlign w:val="center"/>
            <w:hideMark/>
          </w:tcPr>
          <w:p w14:paraId="60D1D6DE"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Project Monitoring &amp; Review</w:t>
            </w:r>
          </w:p>
        </w:tc>
        <w:tc>
          <w:tcPr>
            <w:tcW w:w="1667" w:type="pct"/>
            <w:vMerge/>
            <w:tcBorders>
              <w:top w:val="nil"/>
              <w:right w:val="single" w:sz="4" w:space="0" w:color="auto"/>
            </w:tcBorders>
            <w:vAlign w:val="center"/>
            <w:hideMark/>
          </w:tcPr>
          <w:p w14:paraId="6D2CF00B"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7001B753" w14:textId="77777777" w:rsidR="009A753C" w:rsidRPr="00F2213F" w:rsidRDefault="009A753C" w:rsidP="00214CB8">
            <w:pPr>
              <w:rPr>
                <w:b/>
                <w:bCs/>
                <w:color w:val="000000" w:themeColor="text1"/>
                <w:sz w:val="20"/>
                <w:lang w:eastAsia="en-GB"/>
              </w:rPr>
            </w:pPr>
          </w:p>
        </w:tc>
      </w:tr>
      <w:tr w:rsidR="009A753C" w:rsidRPr="00F2213F" w14:paraId="7765F013" w14:textId="77777777" w:rsidTr="00214CB8">
        <w:trPr>
          <w:trHeight w:val="240"/>
        </w:trPr>
        <w:tc>
          <w:tcPr>
            <w:tcW w:w="1667" w:type="pct"/>
            <w:tcBorders>
              <w:right w:val="single" w:sz="4" w:space="0" w:color="auto"/>
            </w:tcBorders>
            <w:vAlign w:val="center"/>
            <w:hideMark/>
          </w:tcPr>
          <w:p w14:paraId="7826D6E8" w14:textId="77777777" w:rsidR="009A753C" w:rsidRPr="00F2213F" w:rsidRDefault="009A753C" w:rsidP="00214CB8">
            <w:pPr>
              <w:rPr>
                <w:color w:val="000000" w:themeColor="text1"/>
                <w:sz w:val="20"/>
                <w:lang w:eastAsia="en-GB"/>
              </w:rPr>
            </w:pPr>
            <w:r w:rsidRPr="00F2213F">
              <w:rPr>
                <w:color w:val="000000" w:themeColor="text1"/>
                <w:sz w:val="20"/>
                <w:lang w:eastAsia="en-GB"/>
              </w:rPr>
              <w:t>0.11. Annual prBDSPoject performance assessments</w:t>
            </w:r>
          </w:p>
        </w:tc>
        <w:tc>
          <w:tcPr>
            <w:tcW w:w="1667" w:type="pct"/>
            <w:vMerge/>
            <w:tcBorders>
              <w:top w:val="nil"/>
              <w:right w:val="single" w:sz="4" w:space="0" w:color="auto"/>
            </w:tcBorders>
            <w:vAlign w:val="center"/>
            <w:hideMark/>
          </w:tcPr>
          <w:p w14:paraId="050F78D2"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3D9AD18D" w14:textId="77777777" w:rsidR="009A753C" w:rsidRPr="00F2213F" w:rsidRDefault="009A753C" w:rsidP="00214CB8">
            <w:pPr>
              <w:rPr>
                <w:b/>
                <w:bCs/>
                <w:color w:val="000000" w:themeColor="text1"/>
                <w:sz w:val="20"/>
                <w:lang w:eastAsia="en-GB"/>
              </w:rPr>
            </w:pPr>
          </w:p>
        </w:tc>
      </w:tr>
      <w:tr w:rsidR="009A753C" w:rsidRPr="00F2213F" w14:paraId="5865A222" w14:textId="77777777" w:rsidTr="00214CB8">
        <w:trPr>
          <w:trHeight w:val="240"/>
        </w:trPr>
        <w:tc>
          <w:tcPr>
            <w:tcW w:w="1667" w:type="pct"/>
            <w:tcBorders>
              <w:right w:val="single" w:sz="4" w:space="0" w:color="auto"/>
            </w:tcBorders>
            <w:vAlign w:val="center"/>
            <w:hideMark/>
          </w:tcPr>
          <w:p w14:paraId="1CB811A6" w14:textId="77777777" w:rsidR="009A753C" w:rsidRPr="00F2213F" w:rsidRDefault="009A753C" w:rsidP="00214CB8">
            <w:pPr>
              <w:rPr>
                <w:color w:val="000000" w:themeColor="text1"/>
                <w:sz w:val="20"/>
                <w:lang w:eastAsia="en-GB"/>
              </w:rPr>
            </w:pPr>
            <w:r w:rsidRPr="00F2213F">
              <w:rPr>
                <w:color w:val="000000" w:themeColor="text1"/>
                <w:sz w:val="20"/>
                <w:lang w:eastAsia="en-GB"/>
              </w:rPr>
              <w:t>0.12. Annual stakeholders meeting workshop (50 pax)</w:t>
            </w:r>
          </w:p>
        </w:tc>
        <w:tc>
          <w:tcPr>
            <w:tcW w:w="1667" w:type="pct"/>
            <w:vMerge/>
            <w:tcBorders>
              <w:top w:val="nil"/>
              <w:right w:val="single" w:sz="4" w:space="0" w:color="auto"/>
            </w:tcBorders>
            <w:vAlign w:val="center"/>
            <w:hideMark/>
          </w:tcPr>
          <w:p w14:paraId="5C89D3D0"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2E8FA97B" w14:textId="77777777" w:rsidR="009A753C" w:rsidRPr="00F2213F" w:rsidRDefault="009A753C" w:rsidP="00214CB8">
            <w:pPr>
              <w:rPr>
                <w:b/>
                <w:bCs/>
                <w:color w:val="000000" w:themeColor="text1"/>
                <w:sz w:val="20"/>
                <w:lang w:eastAsia="en-GB"/>
              </w:rPr>
            </w:pPr>
          </w:p>
        </w:tc>
      </w:tr>
      <w:tr w:rsidR="009A753C" w:rsidRPr="00F2213F" w14:paraId="48680302" w14:textId="77777777" w:rsidTr="00214CB8">
        <w:trPr>
          <w:trHeight w:val="240"/>
        </w:trPr>
        <w:tc>
          <w:tcPr>
            <w:tcW w:w="1667" w:type="pct"/>
            <w:tcBorders>
              <w:right w:val="single" w:sz="4" w:space="0" w:color="auto"/>
            </w:tcBorders>
            <w:vAlign w:val="center"/>
            <w:hideMark/>
          </w:tcPr>
          <w:p w14:paraId="4E09D302" w14:textId="77777777" w:rsidR="009A753C" w:rsidRPr="00F2213F" w:rsidRDefault="009A753C" w:rsidP="00214CB8">
            <w:pPr>
              <w:rPr>
                <w:color w:val="000000" w:themeColor="text1"/>
                <w:sz w:val="20"/>
                <w:lang w:eastAsia="en-GB"/>
              </w:rPr>
            </w:pPr>
            <w:r w:rsidRPr="00F2213F">
              <w:rPr>
                <w:color w:val="000000" w:themeColor="text1"/>
                <w:sz w:val="20"/>
                <w:lang w:eastAsia="en-GB"/>
              </w:rPr>
              <w:t>0.13. Mid-term review</w:t>
            </w:r>
          </w:p>
        </w:tc>
        <w:tc>
          <w:tcPr>
            <w:tcW w:w="1667" w:type="pct"/>
            <w:vMerge/>
            <w:tcBorders>
              <w:top w:val="nil"/>
              <w:right w:val="single" w:sz="4" w:space="0" w:color="auto"/>
            </w:tcBorders>
            <w:vAlign w:val="center"/>
            <w:hideMark/>
          </w:tcPr>
          <w:p w14:paraId="69F0D9B4"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7DCB065" w14:textId="77777777" w:rsidR="009A753C" w:rsidRPr="00F2213F" w:rsidRDefault="009A753C" w:rsidP="00214CB8">
            <w:pPr>
              <w:rPr>
                <w:b/>
                <w:bCs/>
                <w:color w:val="000000" w:themeColor="text1"/>
                <w:sz w:val="20"/>
                <w:lang w:eastAsia="en-GB"/>
              </w:rPr>
            </w:pPr>
          </w:p>
        </w:tc>
      </w:tr>
      <w:tr w:rsidR="009A753C" w:rsidRPr="00F2213F" w14:paraId="66D3846D" w14:textId="77777777" w:rsidTr="00214CB8">
        <w:trPr>
          <w:trHeight w:val="240"/>
        </w:trPr>
        <w:tc>
          <w:tcPr>
            <w:tcW w:w="1667" w:type="pct"/>
            <w:tcBorders>
              <w:right w:val="single" w:sz="4" w:space="0" w:color="auto"/>
            </w:tcBorders>
            <w:vAlign w:val="center"/>
            <w:hideMark/>
          </w:tcPr>
          <w:p w14:paraId="59484847" w14:textId="77777777" w:rsidR="009A753C" w:rsidRPr="00F2213F" w:rsidRDefault="009A753C" w:rsidP="00214CB8">
            <w:pPr>
              <w:rPr>
                <w:color w:val="000000" w:themeColor="text1"/>
                <w:sz w:val="20"/>
                <w:lang w:eastAsia="en-GB"/>
              </w:rPr>
            </w:pPr>
            <w:r w:rsidRPr="00F2213F">
              <w:rPr>
                <w:color w:val="000000" w:themeColor="text1"/>
                <w:sz w:val="20"/>
                <w:lang w:eastAsia="en-GB"/>
              </w:rPr>
              <w:t>0.14. Joint bi-annual monitoring &amp; review with TWG</w:t>
            </w:r>
          </w:p>
        </w:tc>
        <w:tc>
          <w:tcPr>
            <w:tcW w:w="1667" w:type="pct"/>
            <w:vMerge/>
            <w:tcBorders>
              <w:top w:val="nil"/>
              <w:right w:val="single" w:sz="4" w:space="0" w:color="auto"/>
            </w:tcBorders>
            <w:vAlign w:val="center"/>
            <w:hideMark/>
          </w:tcPr>
          <w:p w14:paraId="4509C2DB"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22851717" w14:textId="77777777" w:rsidR="009A753C" w:rsidRPr="00F2213F" w:rsidRDefault="009A753C" w:rsidP="00214CB8">
            <w:pPr>
              <w:rPr>
                <w:b/>
                <w:bCs/>
                <w:color w:val="000000" w:themeColor="text1"/>
                <w:sz w:val="20"/>
                <w:lang w:eastAsia="en-GB"/>
              </w:rPr>
            </w:pPr>
          </w:p>
        </w:tc>
      </w:tr>
      <w:tr w:rsidR="009A753C" w:rsidRPr="00F2213F" w14:paraId="671E914D" w14:textId="77777777" w:rsidTr="00214CB8">
        <w:trPr>
          <w:trHeight w:val="240"/>
        </w:trPr>
        <w:tc>
          <w:tcPr>
            <w:tcW w:w="1667" w:type="pct"/>
            <w:tcBorders>
              <w:right w:val="single" w:sz="4" w:space="0" w:color="auto"/>
            </w:tcBorders>
            <w:vAlign w:val="center"/>
            <w:hideMark/>
          </w:tcPr>
          <w:p w14:paraId="5B8C36D7" w14:textId="77777777" w:rsidR="009A753C" w:rsidRPr="00F2213F" w:rsidRDefault="009A753C" w:rsidP="00214CB8">
            <w:pPr>
              <w:rPr>
                <w:color w:val="000000" w:themeColor="text1"/>
                <w:sz w:val="20"/>
                <w:lang w:eastAsia="en-GB"/>
              </w:rPr>
            </w:pPr>
            <w:r w:rsidRPr="00F2213F">
              <w:rPr>
                <w:color w:val="000000" w:themeColor="text1"/>
                <w:sz w:val="20"/>
                <w:lang w:eastAsia="en-GB"/>
              </w:rPr>
              <w:t>0.15. Qualitative Impact Study (QuIP)</w:t>
            </w:r>
          </w:p>
        </w:tc>
        <w:tc>
          <w:tcPr>
            <w:tcW w:w="1667" w:type="pct"/>
            <w:vMerge/>
            <w:tcBorders>
              <w:top w:val="nil"/>
              <w:right w:val="single" w:sz="4" w:space="0" w:color="auto"/>
            </w:tcBorders>
            <w:vAlign w:val="center"/>
            <w:hideMark/>
          </w:tcPr>
          <w:p w14:paraId="2D20CFDE"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5ED3317E" w14:textId="77777777" w:rsidR="009A753C" w:rsidRPr="00F2213F" w:rsidRDefault="009A753C" w:rsidP="00214CB8">
            <w:pPr>
              <w:rPr>
                <w:b/>
                <w:bCs/>
                <w:color w:val="000000" w:themeColor="text1"/>
                <w:sz w:val="20"/>
                <w:lang w:eastAsia="en-GB"/>
              </w:rPr>
            </w:pPr>
          </w:p>
        </w:tc>
      </w:tr>
      <w:tr w:rsidR="009A753C" w:rsidRPr="00F2213F" w14:paraId="343A98AE" w14:textId="77777777" w:rsidTr="00214CB8">
        <w:trPr>
          <w:trHeight w:val="240"/>
        </w:trPr>
        <w:tc>
          <w:tcPr>
            <w:tcW w:w="1667" w:type="pct"/>
            <w:tcBorders>
              <w:right w:val="single" w:sz="4" w:space="0" w:color="auto"/>
            </w:tcBorders>
            <w:vAlign w:val="center"/>
            <w:hideMark/>
          </w:tcPr>
          <w:p w14:paraId="1AB931B5" w14:textId="77777777" w:rsidR="009A753C" w:rsidRPr="00F2213F" w:rsidRDefault="009A753C" w:rsidP="00214CB8">
            <w:pPr>
              <w:rPr>
                <w:b/>
                <w:bCs/>
                <w:i/>
                <w:iCs/>
                <w:color w:val="000000" w:themeColor="text1"/>
                <w:sz w:val="20"/>
                <w:lang w:eastAsia="en-GB"/>
              </w:rPr>
            </w:pPr>
            <w:r w:rsidRPr="00F2213F">
              <w:rPr>
                <w:b/>
                <w:bCs/>
                <w:i/>
                <w:iCs/>
                <w:color w:val="000000" w:themeColor="text1"/>
                <w:sz w:val="20"/>
                <w:lang w:eastAsia="en-GB"/>
              </w:rPr>
              <w:t xml:space="preserve">Close out </w:t>
            </w:r>
          </w:p>
        </w:tc>
        <w:tc>
          <w:tcPr>
            <w:tcW w:w="1667" w:type="pct"/>
            <w:vMerge/>
            <w:tcBorders>
              <w:top w:val="nil"/>
              <w:right w:val="single" w:sz="4" w:space="0" w:color="auto"/>
            </w:tcBorders>
            <w:vAlign w:val="center"/>
            <w:hideMark/>
          </w:tcPr>
          <w:p w14:paraId="4DB4B476"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287BE630" w14:textId="77777777" w:rsidR="009A753C" w:rsidRPr="00F2213F" w:rsidRDefault="009A753C" w:rsidP="00214CB8">
            <w:pPr>
              <w:rPr>
                <w:b/>
                <w:bCs/>
                <w:color w:val="000000" w:themeColor="text1"/>
                <w:sz w:val="20"/>
                <w:lang w:eastAsia="en-GB"/>
              </w:rPr>
            </w:pPr>
          </w:p>
        </w:tc>
      </w:tr>
      <w:tr w:rsidR="009A753C" w:rsidRPr="00F2213F" w14:paraId="173047B7" w14:textId="77777777" w:rsidTr="00214CB8">
        <w:trPr>
          <w:trHeight w:val="240"/>
        </w:trPr>
        <w:tc>
          <w:tcPr>
            <w:tcW w:w="1667" w:type="pct"/>
            <w:tcBorders>
              <w:right w:val="single" w:sz="4" w:space="0" w:color="auto"/>
            </w:tcBorders>
            <w:vAlign w:val="center"/>
            <w:hideMark/>
          </w:tcPr>
          <w:p w14:paraId="47000B80" w14:textId="77777777" w:rsidR="009A753C" w:rsidRPr="00F2213F" w:rsidRDefault="009A753C" w:rsidP="00214CB8">
            <w:pPr>
              <w:rPr>
                <w:color w:val="000000" w:themeColor="text1"/>
                <w:sz w:val="20"/>
                <w:lang w:eastAsia="en-GB"/>
              </w:rPr>
            </w:pPr>
            <w:r w:rsidRPr="00F2213F">
              <w:rPr>
                <w:color w:val="000000" w:themeColor="text1"/>
                <w:sz w:val="20"/>
                <w:lang w:eastAsia="en-GB"/>
              </w:rPr>
              <w:t>0.16. Final evaluation</w:t>
            </w:r>
          </w:p>
        </w:tc>
        <w:tc>
          <w:tcPr>
            <w:tcW w:w="1667" w:type="pct"/>
            <w:vMerge/>
            <w:tcBorders>
              <w:top w:val="nil"/>
              <w:right w:val="single" w:sz="4" w:space="0" w:color="auto"/>
            </w:tcBorders>
            <w:vAlign w:val="center"/>
            <w:hideMark/>
          </w:tcPr>
          <w:p w14:paraId="67C6017E"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3234305E" w14:textId="77777777" w:rsidR="009A753C" w:rsidRPr="00F2213F" w:rsidRDefault="009A753C" w:rsidP="00214CB8">
            <w:pPr>
              <w:rPr>
                <w:b/>
                <w:bCs/>
                <w:color w:val="000000" w:themeColor="text1"/>
                <w:sz w:val="20"/>
                <w:lang w:eastAsia="en-GB"/>
              </w:rPr>
            </w:pPr>
          </w:p>
        </w:tc>
      </w:tr>
      <w:tr w:rsidR="009A753C" w:rsidRPr="00F2213F" w14:paraId="5800E3B1" w14:textId="77777777" w:rsidTr="00214CB8">
        <w:trPr>
          <w:trHeight w:val="240"/>
        </w:trPr>
        <w:tc>
          <w:tcPr>
            <w:tcW w:w="1667" w:type="pct"/>
            <w:tcBorders>
              <w:right w:val="single" w:sz="4" w:space="0" w:color="auto"/>
            </w:tcBorders>
            <w:vAlign w:val="center"/>
            <w:hideMark/>
          </w:tcPr>
          <w:p w14:paraId="323BE87C" w14:textId="77777777" w:rsidR="009A753C" w:rsidRPr="00F2213F" w:rsidRDefault="009A753C" w:rsidP="00214CB8">
            <w:pPr>
              <w:rPr>
                <w:color w:val="000000" w:themeColor="text1"/>
                <w:sz w:val="20"/>
                <w:lang w:eastAsia="en-GB"/>
              </w:rPr>
            </w:pPr>
            <w:r w:rsidRPr="00F2213F">
              <w:rPr>
                <w:color w:val="000000" w:themeColor="text1"/>
                <w:sz w:val="20"/>
                <w:lang w:eastAsia="en-GB"/>
              </w:rPr>
              <w:t>0.17. Final dissemination event</w:t>
            </w:r>
          </w:p>
        </w:tc>
        <w:tc>
          <w:tcPr>
            <w:tcW w:w="1667" w:type="pct"/>
            <w:vMerge/>
            <w:tcBorders>
              <w:top w:val="nil"/>
              <w:right w:val="single" w:sz="4" w:space="0" w:color="auto"/>
            </w:tcBorders>
            <w:vAlign w:val="center"/>
            <w:hideMark/>
          </w:tcPr>
          <w:p w14:paraId="3F52AEF2"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620E41D8" w14:textId="77777777" w:rsidR="009A753C" w:rsidRPr="00F2213F" w:rsidRDefault="009A753C" w:rsidP="00214CB8">
            <w:pPr>
              <w:rPr>
                <w:b/>
                <w:bCs/>
                <w:color w:val="000000" w:themeColor="text1"/>
                <w:sz w:val="20"/>
                <w:lang w:eastAsia="en-GB"/>
              </w:rPr>
            </w:pPr>
          </w:p>
        </w:tc>
      </w:tr>
      <w:tr w:rsidR="009A753C" w:rsidRPr="00F2213F" w14:paraId="00D6C40C" w14:textId="77777777" w:rsidTr="00214CB8">
        <w:trPr>
          <w:trHeight w:val="240"/>
        </w:trPr>
        <w:tc>
          <w:tcPr>
            <w:tcW w:w="1667" w:type="pct"/>
            <w:tcBorders>
              <w:right w:val="single" w:sz="4" w:space="0" w:color="auto"/>
            </w:tcBorders>
            <w:vAlign w:val="center"/>
            <w:hideMark/>
          </w:tcPr>
          <w:p w14:paraId="352BF08B" w14:textId="77777777" w:rsidR="009A753C" w:rsidRPr="00F2213F" w:rsidRDefault="009A753C" w:rsidP="00214CB8">
            <w:pPr>
              <w:rPr>
                <w:color w:val="000000" w:themeColor="text1"/>
                <w:sz w:val="20"/>
                <w:lang w:eastAsia="en-GB"/>
              </w:rPr>
            </w:pPr>
            <w:r w:rsidRPr="00F2213F">
              <w:rPr>
                <w:color w:val="000000" w:themeColor="text1"/>
                <w:sz w:val="20"/>
                <w:lang w:eastAsia="en-GB"/>
              </w:rPr>
              <w:t>0.18. Expenditure verification</w:t>
            </w:r>
          </w:p>
        </w:tc>
        <w:tc>
          <w:tcPr>
            <w:tcW w:w="1667" w:type="pct"/>
            <w:vMerge/>
            <w:tcBorders>
              <w:top w:val="nil"/>
              <w:right w:val="single" w:sz="4" w:space="0" w:color="auto"/>
            </w:tcBorders>
            <w:vAlign w:val="center"/>
            <w:hideMark/>
          </w:tcPr>
          <w:p w14:paraId="71B7C5E8" w14:textId="77777777" w:rsidR="009A753C" w:rsidRPr="00F2213F" w:rsidRDefault="009A753C" w:rsidP="00214CB8">
            <w:pPr>
              <w:rPr>
                <w:color w:val="000000" w:themeColor="text1"/>
                <w:sz w:val="20"/>
                <w:lang w:eastAsia="en-GB"/>
              </w:rPr>
            </w:pPr>
          </w:p>
        </w:tc>
        <w:tc>
          <w:tcPr>
            <w:tcW w:w="1666" w:type="pct"/>
            <w:vMerge/>
            <w:tcBorders>
              <w:left w:val="single" w:sz="4" w:space="0" w:color="auto"/>
            </w:tcBorders>
            <w:vAlign w:val="center"/>
            <w:hideMark/>
          </w:tcPr>
          <w:p w14:paraId="32304513" w14:textId="77777777" w:rsidR="009A753C" w:rsidRPr="00F2213F" w:rsidRDefault="009A753C" w:rsidP="00214CB8">
            <w:pPr>
              <w:rPr>
                <w:b/>
                <w:bCs/>
                <w:color w:val="000000" w:themeColor="text1"/>
                <w:sz w:val="20"/>
                <w:lang w:eastAsia="en-GB"/>
              </w:rPr>
            </w:pPr>
          </w:p>
        </w:tc>
      </w:tr>
    </w:tbl>
    <w:p w14:paraId="4A2BA12D" w14:textId="77777777" w:rsidR="009A753C" w:rsidRPr="00F2213F" w:rsidRDefault="009A753C" w:rsidP="009A753C">
      <w:pPr>
        <w:rPr>
          <w:color w:val="000000" w:themeColor="text1"/>
        </w:rPr>
      </w:pPr>
    </w:p>
    <w:p w14:paraId="57125F2F" w14:textId="77777777" w:rsidR="00944AEB" w:rsidRPr="004604C7" w:rsidRDefault="00944AEB" w:rsidP="00C27128">
      <w:pPr>
        <w:spacing w:line="276" w:lineRule="auto"/>
        <w:jc w:val="both"/>
        <w:rPr>
          <w:rFonts w:ascii="Arial" w:hAnsi="Arial" w:cs="Arial"/>
          <w:sz w:val="22"/>
          <w:szCs w:val="22"/>
        </w:rPr>
      </w:pPr>
    </w:p>
    <w:p w14:paraId="1860ECA6" w14:textId="77777777" w:rsidR="00B35E9E" w:rsidRPr="004604C7" w:rsidRDefault="00B35E9E" w:rsidP="00C27128">
      <w:pPr>
        <w:spacing w:line="276" w:lineRule="auto"/>
        <w:jc w:val="both"/>
        <w:rPr>
          <w:rFonts w:ascii="Arial" w:hAnsi="Arial" w:cs="Arial"/>
          <w:sz w:val="22"/>
          <w:szCs w:val="22"/>
        </w:rPr>
      </w:pPr>
    </w:p>
    <w:sectPr w:rsidR="00B35E9E" w:rsidRPr="004604C7" w:rsidSect="00B04B94">
      <w:pgSz w:w="16840" w:h="11901"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D17E" w14:textId="77777777" w:rsidR="00675EEF" w:rsidRDefault="00675EEF" w:rsidP="00813921">
      <w:r>
        <w:separator/>
      </w:r>
    </w:p>
  </w:endnote>
  <w:endnote w:type="continuationSeparator" w:id="0">
    <w:p w14:paraId="5CD77172" w14:textId="77777777" w:rsidR="00675EEF" w:rsidRDefault="00675EEF" w:rsidP="0081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E50002FF" w:usb1="500079DB" w:usb2="00000010" w:usb3="00000000" w:csb0="00000001" w:csb1="00000000"/>
  </w:font>
  <w:font w:name="system-ui">
    <w:altName w:val="Cambria"/>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624973"/>
      <w:docPartObj>
        <w:docPartGallery w:val="Page Numbers (Bottom of Page)"/>
        <w:docPartUnique/>
      </w:docPartObj>
    </w:sdtPr>
    <w:sdtContent>
      <w:p w14:paraId="0FABE42F" w14:textId="33C5BAA0" w:rsidR="00C81ABF" w:rsidRDefault="00C81ABF" w:rsidP="00C81A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DEFD66" w14:textId="77777777" w:rsidR="00C81ABF" w:rsidRDefault="00C81ABF" w:rsidP="00C81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0284426"/>
      <w:docPartObj>
        <w:docPartGallery w:val="Page Numbers (Bottom of Page)"/>
        <w:docPartUnique/>
      </w:docPartObj>
    </w:sdtPr>
    <w:sdtContent>
      <w:p w14:paraId="1A65B5A3" w14:textId="4B105AC2" w:rsidR="00C81ABF" w:rsidRDefault="00C81ABF" w:rsidP="00C81A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38DA6A" w14:textId="7601DC88" w:rsidR="00385D47" w:rsidRDefault="00C81ABF" w:rsidP="00C81ABF">
    <w:pPr>
      <w:pStyle w:val="Footer"/>
      <w:ind w:right="360"/>
    </w:pPr>
    <w:r w:rsidRPr="00385D47">
      <w:rPr>
        <w:rFonts w:ascii="Calibri Light" w:eastAsia="Helvetica Neue" w:hAnsi="Calibri Light" w:cs="Calibri Light"/>
        <w:noProof/>
        <w:color w:val="000000"/>
        <w:sz w:val="21"/>
        <w:szCs w:val="24"/>
        <w:lang w:eastAsia="en-GB"/>
      </w:rPr>
      <w:drawing>
        <wp:anchor distT="0" distB="0" distL="114300" distR="114300" simplePos="0" relativeHeight="251658240" behindDoc="1" locked="0" layoutInCell="1" hidden="0" allowOverlap="1" wp14:anchorId="068E05C9" wp14:editId="6D308004">
          <wp:simplePos x="0" y="0"/>
          <wp:positionH relativeFrom="margin">
            <wp:align>center</wp:align>
          </wp:positionH>
          <wp:positionV relativeFrom="paragraph">
            <wp:posOffset>-192405</wp:posOffset>
          </wp:positionV>
          <wp:extent cx="5616000" cy="535972"/>
          <wp:effectExtent l="0" t="0" r="0" b="0"/>
          <wp:wrapNone/>
          <wp:docPr id="19211590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6000" cy="535972"/>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55BB" w14:textId="77777777" w:rsidR="00675EEF" w:rsidRDefault="00675EEF" w:rsidP="00813921">
      <w:r>
        <w:separator/>
      </w:r>
    </w:p>
  </w:footnote>
  <w:footnote w:type="continuationSeparator" w:id="0">
    <w:p w14:paraId="5CA1FC4F" w14:textId="77777777" w:rsidR="00675EEF" w:rsidRDefault="00675EEF" w:rsidP="0081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4B45" w14:textId="5F771231" w:rsidR="00813921" w:rsidRPr="00813921" w:rsidRDefault="00385D47" w:rsidP="00385D47">
    <w:pPr>
      <w:pStyle w:val="Header"/>
    </w:pPr>
    <w:r w:rsidRPr="005F006D">
      <w:rPr>
        <w:noProof/>
      </w:rPr>
      <w:drawing>
        <wp:inline distT="0" distB="0" distL="0" distR="0" wp14:anchorId="6BC43C27" wp14:editId="40763B7A">
          <wp:extent cx="5731510" cy="1100455"/>
          <wp:effectExtent l="0" t="0" r="2540" b="4445"/>
          <wp:docPr id="48073044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730445" name="Picture 1" descr="A white background with black dots&#10;&#10;AI-generated content may be incorrect."/>
                  <pic:cNvPicPr/>
                </pic:nvPicPr>
                <pic:blipFill>
                  <a:blip r:embed="rId1"/>
                  <a:stretch>
                    <a:fillRect/>
                  </a:stretch>
                </pic:blipFill>
                <pic:spPr>
                  <a:xfrm>
                    <a:off x="0" y="0"/>
                    <a:ext cx="5731510" cy="1100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39F"/>
    <w:multiLevelType w:val="hybridMultilevel"/>
    <w:tmpl w:val="DDD2537A"/>
    <w:lvl w:ilvl="0" w:tplc="D612F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7273"/>
    <w:multiLevelType w:val="hybridMultilevel"/>
    <w:tmpl w:val="F960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07C"/>
    <w:multiLevelType w:val="hybridMultilevel"/>
    <w:tmpl w:val="840646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AA7413"/>
    <w:multiLevelType w:val="hybridMultilevel"/>
    <w:tmpl w:val="7ACECCCC"/>
    <w:lvl w:ilvl="0" w:tplc="A6B88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11C67"/>
    <w:multiLevelType w:val="multilevel"/>
    <w:tmpl w:val="BB92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62F5B"/>
    <w:multiLevelType w:val="hybridMultilevel"/>
    <w:tmpl w:val="7D52466E"/>
    <w:lvl w:ilvl="0" w:tplc="08090011">
      <w:start w:val="1"/>
      <w:numFmt w:val="decimal"/>
      <w:lvlText w:val="%1)"/>
      <w:lvlJc w:val="left"/>
      <w:pPr>
        <w:ind w:left="360" w:hanging="360"/>
      </w:pPr>
    </w:lvl>
    <w:lvl w:ilvl="1" w:tplc="FFFFFFFF">
      <w:start w:val="1"/>
      <w:numFmt w:val="lowerLetter"/>
      <w:lvlText w:val="%2."/>
      <w:lvlJc w:val="left"/>
      <w:pPr>
        <w:ind w:left="216" w:hanging="360"/>
      </w:pPr>
    </w:lvl>
    <w:lvl w:ilvl="2" w:tplc="FFFFFFFF" w:tentative="1">
      <w:start w:val="1"/>
      <w:numFmt w:val="lowerRoman"/>
      <w:lvlText w:val="%3."/>
      <w:lvlJc w:val="right"/>
      <w:pPr>
        <w:ind w:left="936" w:hanging="180"/>
      </w:pPr>
    </w:lvl>
    <w:lvl w:ilvl="3" w:tplc="FFFFFFFF" w:tentative="1">
      <w:start w:val="1"/>
      <w:numFmt w:val="decimal"/>
      <w:lvlText w:val="%4."/>
      <w:lvlJc w:val="left"/>
      <w:pPr>
        <w:ind w:left="1656" w:hanging="360"/>
      </w:pPr>
    </w:lvl>
    <w:lvl w:ilvl="4" w:tplc="FFFFFFFF" w:tentative="1">
      <w:start w:val="1"/>
      <w:numFmt w:val="lowerLetter"/>
      <w:lvlText w:val="%5."/>
      <w:lvlJc w:val="left"/>
      <w:pPr>
        <w:ind w:left="2376" w:hanging="360"/>
      </w:pPr>
    </w:lvl>
    <w:lvl w:ilvl="5" w:tplc="FFFFFFFF" w:tentative="1">
      <w:start w:val="1"/>
      <w:numFmt w:val="lowerRoman"/>
      <w:lvlText w:val="%6."/>
      <w:lvlJc w:val="right"/>
      <w:pPr>
        <w:ind w:left="3096" w:hanging="180"/>
      </w:pPr>
    </w:lvl>
    <w:lvl w:ilvl="6" w:tplc="FFFFFFFF" w:tentative="1">
      <w:start w:val="1"/>
      <w:numFmt w:val="decimal"/>
      <w:lvlText w:val="%7."/>
      <w:lvlJc w:val="left"/>
      <w:pPr>
        <w:ind w:left="3816" w:hanging="360"/>
      </w:pPr>
    </w:lvl>
    <w:lvl w:ilvl="7" w:tplc="FFFFFFFF" w:tentative="1">
      <w:start w:val="1"/>
      <w:numFmt w:val="lowerLetter"/>
      <w:lvlText w:val="%8."/>
      <w:lvlJc w:val="left"/>
      <w:pPr>
        <w:ind w:left="4536" w:hanging="360"/>
      </w:pPr>
    </w:lvl>
    <w:lvl w:ilvl="8" w:tplc="FFFFFFFF" w:tentative="1">
      <w:start w:val="1"/>
      <w:numFmt w:val="lowerRoman"/>
      <w:lvlText w:val="%9."/>
      <w:lvlJc w:val="right"/>
      <w:pPr>
        <w:ind w:left="5256" w:hanging="180"/>
      </w:pPr>
    </w:lvl>
  </w:abstractNum>
  <w:abstractNum w:abstractNumId="6" w15:restartNumberingAfterBreak="0">
    <w:nsid w:val="1943638B"/>
    <w:multiLevelType w:val="hybridMultilevel"/>
    <w:tmpl w:val="FE6E77B8"/>
    <w:lvl w:ilvl="0" w:tplc="3F0C16FA">
      <w:start w:val="1"/>
      <w:numFmt w:val="bullet"/>
      <w:lvlText w:val=""/>
      <w:lvlJc w:val="left"/>
      <w:pPr>
        <w:ind w:left="927"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F0BE1"/>
    <w:multiLevelType w:val="multilevel"/>
    <w:tmpl w:val="109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066E9"/>
    <w:multiLevelType w:val="hybridMultilevel"/>
    <w:tmpl w:val="E4D0AF36"/>
    <w:lvl w:ilvl="0" w:tplc="20000017">
      <w:start w:val="1"/>
      <w:numFmt w:val="lowerLetter"/>
      <w:lvlText w:val="%1)"/>
      <w:lvlJc w:val="left"/>
      <w:pPr>
        <w:ind w:left="644"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21A312EB"/>
    <w:multiLevelType w:val="hybridMultilevel"/>
    <w:tmpl w:val="D9ECD3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C347F60"/>
    <w:multiLevelType w:val="hybridMultilevel"/>
    <w:tmpl w:val="98208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997923"/>
    <w:multiLevelType w:val="hybridMultilevel"/>
    <w:tmpl w:val="B5286544"/>
    <w:lvl w:ilvl="0" w:tplc="5EB4870A">
      <w:start w:val="1"/>
      <w:numFmt w:val="decimal"/>
      <w:lvlText w:val="%1."/>
      <w:lvlJc w:val="left"/>
      <w:pPr>
        <w:ind w:left="502" w:hanging="360"/>
      </w:pPr>
      <w:rPr>
        <w:color w:val="066684" w:themeColor="accent6" w:themeShade="BF"/>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A7467A"/>
    <w:multiLevelType w:val="hybridMultilevel"/>
    <w:tmpl w:val="D32863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AF743C"/>
    <w:multiLevelType w:val="hybridMultilevel"/>
    <w:tmpl w:val="C5909CA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CD2731"/>
    <w:multiLevelType w:val="hybridMultilevel"/>
    <w:tmpl w:val="94D2CBD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5" w15:restartNumberingAfterBreak="0">
    <w:nsid w:val="35606A07"/>
    <w:multiLevelType w:val="multilevel"/>
    <w:tmpl w:val="9C8E8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2B1CAD"/>
    <w:multiLevelType w:val="multilevel"/>
    <w:tmpl w:val="A252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E2BAE"/>
    <w:multiLevelType w:val="hybridMultilevel"/>
    <w:tmpl w:val="F9B8D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E3D6DBA"/>
    <w:multiLevelType w:val="hybridMultilevel"/>
    <w:tmpl w:val="D71C08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F2A6CBF"/>
    <w:multiLevelType w:val="multilevel"/>
    <w:tmpl w:val="2B7EEAC0"/>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30344B"/>
    <w:multiLevelType w:val="multilevel"/>
    <w:tmpl w:val="AEDE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276DB"/>
    <w:multiLevelType w:val="multilevel"/>
    <w:tmpl w:val="FF3C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141FB"/>
    <w:multiLevelType w:val="hybridMultilevel"/>
    <w:tmpl w:val="C4766D26"/>
    <w:lvl w:ilvl="0" w:tplc="BEAC7590">
      <w:start w:val="1"/>
      <w:numFmt w:val="upp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E72839"/>
    <w:multiLevelType w:val="hybridMultilevel"/>
    <w:tmpl w:val="7CA64A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BA7E85"/>
    <w:multiLevelType w:val="hybridMultilevel"/>
    <w:tmpl w:val="338AAE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453DEF"/>
    <w:multiLevelType w:val="hybridMultilevel"/>
    <w:tmpl w:val="28C20F1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65126B4"/>
    <w:multiLevelType w:val="hybridMultilevel"/>
    <w:tmpl w:val="12662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65916"/>
    <w:multiLevelType w:val="hybridMultilevel"/>
    <w:tmpl w:val="B950D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68542C"/>
    <w:multiLevelType w:val="hybridMultilevel"/>
    <w:tmpl w:val="B6624E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57B45D"/>
    <w:multiLevelType w:val="hybridMultilevel"/>
    <w:tmpl w:val="F7503AF2"/>
    <w:lvl w:ilvl="0" w:tplc="A4A62554">
      <w:start w:val="1"/>
      <w:numFmt w:val="bullet"/>
      <w:lvlText w:val=""/>
      <w:lvlJc w:val="left"/>
      <w:pPr>
        <w:ind w:left="720" w:hanging="360"/>
      </w:pPr>
      <w:rPr>
        <w:rFonts w:ascii="Symbol" w:hAnsi="Symbol" w:hint="default"/>
      </w:rPr>
    </w:lvl>
    <w:lvl w:ilvl="1" w:tplc="5370474A">
      <w:start w:val="1"/>
      <w:numFmt w:val="bullet"/>
      <w:lvlText w:val="o"/>
      <w:lvlJc w:val="left"/>
      <w:pPr>
        <w:ind w:left="1440" w:hanging="360"/>
      </w:pPr>
      <w:rPr>
        <w:rFonts w:ascii="Courier New" w:hAnsi="Courier New" w:hint="default"/>
      </w:rPr>
    </w:lvl>
    <w:lvl w:ilvl="2" w:tplc="37006880">
      <w:start w:val="1"/>
      <w:numFmt w:val="bullet"/>
      <w:lvlText w:val=""/>
      <w:lvlJc w:val="left"/>
      <w:pPr>
        <w:ind w:left="2160" w:hanging="360"/>
      </w:pPr>
      <w:rPr>
        <w:rFonts w:ascii="Wingdings" w:hAnsi="Wingdings" w:hint="default"/>
      </w:rPr>
    </w:lvl>
    <w:lvl w:ilvl="3" w:tplc="85FCA644">
      <w:start w:val="1"/>
      <w:numFmt w:val="bullet"/>
      <w:lvlText w:val=""/>
      <w:lvlJc w:val="left"/>
      <w:pPr>
        <w:ind w:left="2880" w:hanging="360"/>
      </w:pPr>
      <w:rPr>
        <w:rFonts w:ascii="Symbol" w:hAnsi="Symbol" w:hint="default"/>
      </w:rPr>
    </w:lvl>
    <w:lvl w:ilvl="4" w:tplc="100E2D9C">
      <w:start w:val="1"/>
      <w:numFmt w:val="bullet"/>
      <w:lvlText w:val="o"/>
      <w:lvlJc w:val="left"/>
      <w:pPr>
        <w:ind w:left="3600" w:hanging="360"/>
      </w:pPr>
      <w:rPr>
        <w:rFonts w:ascii="Courier New" w:hAnsi="Courier New" w:hint="default"/>
      </w:rPr>
    </w:lvl>
    <w:lvl w:ilvl="5" w:tplc="4900E4C6">
      <w:start w:val="1"/>
      <w:numFmt w:val="bullet"/>
      <w:lvlText w:val=""/>
      <w:lvlJc w:val="left"/>
      <w:pPr>
        <w:ind w:left="4320" w:hanging="360"/>
      </w:pPr>
      <w:rPr>
        <w:rFonts w:ascii="Wingdings" w:hAnsi="Wingdings" w:hint="default"/>
      </w:rPr>
    </w:lvl>
    <w:lvl w:ilvl="6" w:tplc="1C486428">
      <w:start w:val="1"/>
      <w:numFmt w:val="bullet"/>
      <w:lvlText w:val=""/>
      <w:lvlJc w:val="left"/>
      <w:pPr>
        <w:ind w:left="5040" w:hanging="360"/>
      </w:pPr>
      <w:rPr>
        <w:rFonts w:ascii="Symbol" w:hAnsi="Symbol" w:hint="default"/>
      </w:rPr>
    </w:lvl>
    <w:lvl w:ilvl="7" w:tplc="B136D0AE">
      <w:start w:val="1"/>
      <w:numFmt w:val="bullet"/>
      <w:lvlText w:val="o"/>
      <w:lvlJc w:val="left"/>
      <w:pPr>
        <w:ind w:left="5760" w:hanging="360"/>
      </w:pPr>
      <w:rPr>
        <w:rFonts w:ascii="Courier New" w:hAnsi="Courier New" w:hint="default"/>
      </w:rPr>
    </w:lvl>
    <w:lvl w:ilvl="8" w:tplc="5C0EDF66">
      <w:start w:val="1"/>
      <w:numFmt w:val="bullet"/>
      <w:lvlText w:val=""/>
      <w:lvlJc w:val="left"/>
      <w:pPr>
        <w:ind w:left="6480" w:hanging="360"/>
      </w:pPr>
      <w:rPr>
        <w:rFonts w:ascii="Wingdings" w:hAnsi="Wingdings" w:hint="default"/>
      </w:rPr>
    </w:lvl>
  </w:abstractNum>
  <w:abstractNum w:abstractNumId="30" w15:restartNumberingAfterBreak="0">
    <w:nsid w:val="67B85DA2"/>
    <w:multiLevelType w:val="hybridMultilevel"/>
    <w:tmpl w:val="D25A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7EF0"/>
    <w:multiLevelType w:val="multilevel"/>
    <w:tmpl w:val="A7F84AA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760825"/>
    <w:multiLevelType w:val="multilevel"/>
    <w:tmpl w:val="99C6B6FA"/>
    <w:styleLink w:val="Bullets"/>
    <w:lvl w:ilvl="0">
      <w:start w:val="1"/>
      <w:numFmt w:val="bullet"/>
      <w:pStyle w:val="BulletList1"/>
      <w:lvlText w:val=""/>
      <w:lvlJc w:val="left"/>
      <w:pPr>
        <w:ind w:left="340" w:hanging="340"/>
      </w:pPr>
      <w:rPr>
        <w:rFonts w:ascii="Wingdings 3" w:hAnsi="Wingdings 3" w:hint="default"/>
        <w:color w:val="549E39" w:themeColor="accent1"/>
        <w:sz w:val="22"/>
      </w:rPr>
    </w:lvl>
    <w:lvl w:ilvl="1">
      <w:start w:val="1"/>
      <w:numFmt w:val="bullet"/>
      <w:pStyle w:val="BulletList2"/>
      <w:lvlText w:val="–"/>
      <w:lvlJc w:val="left"/>
      <w:pPr>
        <w:ind w:left="680" w:hanging="340"/>
      </w:pPr>
      <w:rPr>
        <w:rFonts w:ascii="Calibri" w:hAnsi="Calibri" w:hint="default"/>
        <w:color w:val="549E39" w:themeColor="accent1"/>
      </w:rPr>
    </w:lvl>
    <w:lvl w:ilvl="2">
      <w:start w:val="1"/>
      <w:numFmt w:val="bullet"/>
      <w:pStyle w:val="BulletList3"/>
      <w:lvlText w:val=""/>
      <w:lvlJc w:val="left"/>
      <w:pPr>
        <w:ind w:left="1020" w:hanging="340"/>
      </w:pPr>
      <w:rPr>
        <w:rFonts w:ascii="Symbol" w:hAnsi="Symbol" w:hint="default"/>
        <w:color w:val="549E39" w:themeColor="accent1"/>
        <w:u w:color="549E39" w:themeColor="accent1"/>
      </w:rPr>
    </w:lvl>
    <w:lvl w:ilvl="3">
      <w:start w:val="1"/>
      <w:numFmt w:val="bullet"/>
      <w:pStyle w:val="BulletList4"/>
      <w:lvlText w:val="–"/>
      <w:lvlJc w:val="left"/>
      <w:pPr>
        <w:ind w:left="1360" w:hanging="340"/>
      </w:pPr>
      <w:rPr>
        <w:rFonts w:ascii="Calibri" w:hAnsi="Calibri" w:hint="default"/>
        <w:color w:val="auto"/>
      </w:rPr>
    </w:lvl>
    <w:lvl w:ilvl="4">
      <w:start w:val="1"/>
      <w:numFmt w:val="bullet"/>
      <w:pStyle w:val="BulletList5"/>
      <w:lvlText w:val="–"/>
      <w:lvlJc w:val="left"/>
      <w:pPr>
        <w:ind w:left="1700" w:hanging="340"/>
      </w:pPr>
      <w:rPr>
        <w:rFonts w:ascii="Calibri" w:hAnsi="Calibri" w:hint="default"/>
        <w:color w:val="auto"/>
      </w:rPr>
    </w:lvl>
    <w:lvl w:ilvl="5">
      <w:start w:val="1"/>
      <w:numFmt w:val="bullet"/>
      <w:pStyle w:val="BulletList6"/>
      <w:lvlText w:val="–"/>
      <w:lvlJc w:val="left"/>
      <w:pPr>
        <w:ind w:left="2040" w:hanging="340"/>
      </w:pPr>
      <w:rPr>
        <w:rFonts w:ascii="Calibri" w:hAnsi="Calibri" w:hint="default"/>
        <w:color w:val="auto"/>
      </w:rPr>
    </w:lvl>
    <w:lvl w:ilvl="6">
      <w:start w:val="1"/>
      <w:numFmt w:val="bullet"/>
      <w:pStyle w:val="BulletList7"/>
      <w:lvlText w:val="–"/>
      <w:lvlJc w:val="left"/>
      <w:pPr>
        <w:ind w:left="2380" w:hanging="340"/>
      </w:pPr>
      <w:rPr>
        <w:rFonts w:ascii="Calibri" w:hAnsi="Calibri" w:hint="default"/>
        <w:color w:val="auto"/>
      </w:rPr>
    </w:lvl>
    <w:lvl w:ilvl="7">
      <w:start w:val="1"/>
      <w:numFmt w:val="bullet"/>
      <w:pStyle w:val="BulletList8"/>
      <w:lvlText w:val="–"/>
      <w:lvlJc w:val="left"/>
      <w:pPr>
        <w:ind w:left="2720" w:hanging="340"/>
      </w:pPr>
      <w:rPr>
        <w:rFonts w:ascii="Calibri" w:hAnsi="Calibri" w:hint="default"/>
        <w:color w:val="auto"/>
      </w:rPr>
    </w:lvl>
    <w:lvl w:ilvl="8">
      <w:start w:val="1"/>
      <w:numFmt w:val="bullet"/>
      <w:pStyle w:val="BulletList9"/>
      <w:lvlText w:val="–"/>
      <w:lvlJc w:val="left"/>
      <w:pPr>
        <w:ind w:left="3060" w:hanging="340"/>
      </w:pPr>
      <w:rPr>
        <w:rFonts w:ascii="Calibri" w:hAnsi="Calibri" w:hint="default"/>
        <w:color w:val="auto"/>
      </w:rPr>
    </w:lvl>
  </w:abstractNum>
  <w:abstractNum w:abstractNumId="33" w15:restartNumberingAfterBreak="0">
    <w:nsid w:val="6DE77495"/>
    <w:multiLevelType w:val="hybridMultilevel"/>
    <w:tmpl w:val="55528490"/>
    <w:lvl w:ilvl="0" w:tplc="C55A9FF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B1D39"/>
    <w:multiLevelType w:val="hybridMultilevel"/>
    <w:tmpl w:val="9AF64B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44E3245"/>
    <w:multiLevelType w:val="multilevel"/>
    <w:tmpl w:val="A1CE0990"/>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3E2FFA"/>
    <w:multiLevelType w:val="hybridMultilevel"/>
    <w:tmpl w:val="91C49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B9971A4"/>
    <w:multiLevelType w:val="hybridMultilevel"/>
    <w:tmpl w:val="DD98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4433AE"/>
    <w:multiLevelType w:val="hybridMultilevel"/>
    <w:tmpl w:val="65C6E3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10780868">
    <w:abstractNumId w:val="19"/>
  </w:num>
  <w:num w:numId="2" w16cid:durableId="1408965531">
    <w:abstractNumId w:val="37"/>
  </w:num>
  <w:num w:numId="3" w16cid:durableId="116727556">
    <w:abstractNumId w:val="11"/>
  </w:num>
  <w:num w:numId="4" w16cid:durableId="2066172580">
    <w:abstractNumId w:val="32"/>
  </w:num>
  <w:num w:numId="5" w16cid:durableId="2131388691">
    <w:abstractNumId w:val="3"/>
  </w:num>
  <w:num w:numId="6" w16cid:durableId="51663534">
    <w:abstractNumId w:val="6"/>
  </w:num>
  <w:num w:numId="7" w16cid:durableId="2121990762">
    <w:abstractNumId w:val="10"/>
  </w:num>
  <w:num w:numId="8" w16cid:durableId="441219861">
    <w:abstractNumId w:val="24"/>
  </w:num>
  <w:num w:numId="9" w16cid:durableId="3830032">
    <w:abstractNumId w:val="26"/>
  </w:num>
  <w:num w:numId="10" w16cid:durableId="1541673140">
    <w:abstractNumId w:val="22"/>
  </w:num>
  <w:num w:numId="11" w16cid:durableId="1623462762">
    <w:abstractNumId w:val="30"/>
  </w:num>
  <w:num w:numId="12" w16cid:durableId="1477140325">
    <w:abstractNumId w:val="33"/>
  </w:num>
  <w:num w:numId="13" w16cid:durableId="1603874572">
    <w:abstractNumId w:val="27"/>
  </w:num>
  <w:num w:numId="14" w16cid:durableId="231892704">
    <w:abstractNumId w:val="19"/>
  </w:num>
  <w:num w:numId="15" w16cid:durableId="1227448490">
    <w:abstractNumId w:val="19"/>
  </w:num>
  <w:num w:numId="16" w16cid:durableId="695036195">
    <w:abstractNumId w:val="1"/>
  </w:num>
  <w:num w:numId="17" w16cid:durableId="1764254674">
    <w:abstractNumId w:val="19"/>
  </w:num>
  <w:num w:numId="18" w16cid:durableId="1124808526">
    <w:abstractNumId w:val="0"/>
  </w:num>
  <w:num w:numId="19" w16cid:durableId="1884361970">
    <w:abstractNumId w:val="19"/>
  </w:num>
  <w:num w:numId="20" w16cid:durableId="434138844">
    <w:abstractNumId w:val="19"/>
  </w:num>
  <w:num w:numId="21" w16cid:durableId="19825390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4182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8349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68027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6587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63527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4738695">
    <w:abstractNumId w:val="15"/>
  </w:num>
  <w:num w:numId="28" w16cid:durableId="1689061859">
    <w:abstractNumId w:val="4"/>
  </w:num>
  <w:num w:numId="29" w16cid:durableId="499859089">
    <w:abstractNumId w:val="38"/>
  </w:num>
  <w:num w:numId="30" w16cid:durableId="112216359">
    <w:abstractNumId w:val="16"/>
  </w:num>
  <w:num w:numId="31" w16cid:durableId="133644391">
    <w:abstractNumId w:val="20"/>
  </w:num>
  <w:num w:numId="32" w16cid:durableId="683047577">
    <w:abstractNumId w:val="21"/>
  </w:num>
  <w:num w:numId="33" w16cid:durableId="1510758240">
    <w:abstractNumId w:val="17"/>
  </w:num>
  <w:num w:numId="34" w16cid:durableId="61876232">
    <w:abstractNumId w:val="36"/>
  </w:num>
  <w:num w:numId="35" w16cid:durableId="792288338">
    <w:abstractNumId w:val="34"/>
  </w:num>
  <w:num w:numId="36" w16cid:durableId="119763335">
    <w:abstractNumId w:val="2"/>
  </w:num>
  <w:num w:numId="37" w16cid:durableId="1383014542">
    <w:abstractNumId w:val="29"/>
  </w:num>
  <w:num w:numId="38" w16cid:durableId="1299191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8176813">
    <w:abstractNumId w:val="9"/>
  </w:num>
  <w:num w:numId="40" w16cid:durableId="141194546">
    <w:abstractNumId w:val="13"/>
  </w:num>
  <w:num w:numId="41" w16cid:durableId="1873573862">
    <w:abstractNumId w:val="7"/>
  </w:num>
  <w:num w:numId="42" w16cid:durableId="913471461">
    <w:abstractNumId w:val="31"/>
  </w:num>
  <w:num w:numId="43" w16cid:durableId="217665289">
    <w:abstractNumId w:val="35"/>
  </w:num>
  <w:num w:numId="44" w16cid:durableId="1473710880">
    <w:abstractNumId w:val="23"/>
  </w:num>
  <w:num w:numId="45" w16cid:durableId="922766045">
    <w:abstractNumId w:val="12"/>
  </w:num>
  <w:num w:numId="46" w16cid:durableId="1033074820">
    <w:abstractNumId w:val="18"/>
  </w:num>
  <w:num w:numId="47" w16cid:durableId="1892111900">
    <w:abstractNumId w:val="25"/>
  </w:num>
  <w:num w:numId="48" w16cid:durableId="884295955">
    <w:abstractNumId w:val="5"/>
  </w:num>
  <w:num w:numId="49" w16cid:durableId="40525369">
    <w:abstractNumId w:val="28"/>
  </w:num>
  <w:num w:numId="50" w16cid:durableId="9519416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21"/>
    <w:rsid w:val="00002E59"/>
    <w:rsid w:val="00004CB5"/>
    <w:rsid w:val="000172FF"/>
    <w:rsid w:val="000259DB"/>
    <w:rsid w:val="000277D7"/>
    <w:rsid w:val="00030005"/>
    <w:rsid w:val="0003257F"/>
    <w:rsid w:val="00034D5C"/>
    <w:rsid w:val="00042B26"/>
    <w:rsid w:val="00043F62"/>
    <w:rsid w:val="00050CA0"/>
    <w:rsid w:val="00051DB2"/>
    <w:rsid w:val="00052E2F"/>
    <w:rsid w:val="00053627"/>
    <w:rsid w:val="00057D76"/>
    <w:rsid w:val="0006078B"/>
    <w:rsid w:val="0007434B"/>
    <w:rsid w:val="000753F3"/>
    <w:rsid w:val="00083D19"/>
    <w:rsid w:val="000910C7"/>
    <w:rsid w:val="0009541B"/>
    <w:rsid w:val="00095E3F"/>
    <w:rsid w:val="00097822"/>
    <w:rsid w:val="000A39D9"/>
    <w:rsid w:val="000B75B6"/>
    <w:rsid w:val="000C36BB"/>
    <w:rsid w:val="000C4842"/>
    <w:rsid w:val="000C5CA6"/>
    <w:rsid w:val="000C6E5A"/>
    <w:rsid w:val="000C78FC"/>
    <w:rsid w:val="000D108E"/>
    <w:rsid w:val="000D112F"/>
    <w:rsid w:val="000D625F"/>
    <w:rsid w:val="000F546C"/>
    <w:rsid w:val="001018D6"/>
    <w:rsid w:val="00115CA8"/>
    <w:rsid w:val="00117D63"/>
    <w:rsid w:val="00121FE1"/>
    <w:rsid w:val="00122607"/>
    <w:rsid w:val="00127C28"/>
    <w:rsid w:val="001310E6"/>
    <w:rsid w:val="00131359"/>
    <w:rsid w:val="0013556C"/>
    <w:rsid w:val="00137C94"/>
    <w:rsid w:val="001401B3"/>
    <w:rsid w:val="0014071F"/>
    <w:rsid w:val="00141099"/>
    <w:rsid w:val="00143C1B"/>
    <w:rsid w:val="00151BBE"/>
    <w:rsid w:val="00154112"/>
    <w:rsid w:val="00155C71"/>
    <w:rsid w:val="00156C65"/>
    <w:rsid w:val="00165CFE"/>
    <w:rsid w:val="00167933"/>
    <w:rsid w:val="00171BD1"/>
    <w:rsid w:val="00173833"/>
    <w:rsid w:val="00184026"/>
    <w:rsid w:val="0018483E"/>
    <w:rsid w:val="0018731F"/>
    <w:rsid w:val="0019433A"/>
    <w:rsid w:val="00194E01"/>
    <w:rsid w:val="001962BE"/>
    <w:rsid w:val="001B010C"/>
    <w:rsid w:val="001B1429"/>
    <w:rsid w:val="001C151F"/>
    <w:rsid w:val="001C398A"/>
    <w:rsid w:val="001E554B"/>
    <w:rsid w:val="001F19B7"/>
    <w:rsid w:val="001F41F1"/>
    <w:rsid w:val="001F5E26"/>
    <w:rsid w:val="0020731E"/>
    <w:rsid w:val="00213D7B"/>
    <w:rsid w:val="00214CB8"/>
    <w:rsid w:val="00227FC1"/>
    <w:rsid w:val="002469D9"/>
    <w:rsid w:val="002522C5"/>
    <w:rsid w:val="00252EB0"/>
    <w:rsid w:val="00254966"/>
    <w:rsid w:val="0025644A"/>
    <w:rsid w:val="00260555"/>
    <w:rsid w:val="0026351D"/>
    <w:rsid w:val="00266E44"/>
    <w:rsid w:val="0028379F"/>
    <w:rsid w:val="002860A4"/>
    <w:rsid w:val="002966FA"/>
    <w:rsid w:val="002B5380"/>
    <w:rsid w:val="002B68D8"/>
    <w:rsid w:val="002C07CC"/>
    <w:rsid w:val="002C29A1"/>
    <w:rsid w:val="002C2A95"/>
    <w:rsid w:val="002D06A0"/>
    <w:rsid w:val="002D0791"/>
    <w:rsid w:val="002D2D8A"/>
    <w:rsid w:val="002E7129"/>
    <w:rsid w:val="002E79D1"/>
    <w:rsid w:val="002F05BD"/>
    <w:rsid w:val="002F16F7"/>
    <w:rsid w:val="002F1CD0"/>
    <w:rsid w:val="00301F15"/>
    <w:rsid w:val="00324C26"/>
    <w:rsid w:val="0032625C"/>
    <w:rsid w:val="003274FB"/>
    <w:rsid w:val="00331253"/>
    <w:rsid w:val="00337115"/>
    <w:rsid w:val="00337983"/>
    <w:rsid w:val="0034232D"/>
    <w:rsid w:val="0034389A"/>
    <w:rsid w:val="00343D1A"/>
    <w:rsid w:val="00346BEB"/>
    <w:rsid w:val="00347C65"/>
    <w:rsid w:val="00347F67"/>
    <w:rsid w:val="00353519"/>
    <w:rsid w:val="00354F90"/>
    <w:rsid w:val="00356597"/>
    <w:rsid w:val="00356D96"/>
    <w:rsid w:val="00356E5D"/>
    <w:rsid w:val="00357DC7"/>
    <w:rsid w:val="0036184F"/>
    <w:rsid w:val="0037191C"/>
    <w:rsid w:val="00371C08"/>
    <w:rsid w:val="0037266C"/>
    <w:rsid w:val="0037359A"/>
    <w:rsid w:val="003817CD"/>
    <w:rsid w:val="00382C55"/>
    <w:rsid w:val="00383F44"/>
    <w:rsid w:val="00385D47"/>
    <w:rsid w:val="003873A2"/>
    <w:rsid w:val="00393395"/>
    <w:rsid w:val="00395347"/>
    <w:rsid w:val="003A1F92"/>
    <w:rsid w:val="003B3501"/>
    <w:rsid w:val="003B5F34"/>
    <w:rsid w:val="003B799A"/>
    <w:rsid w:val="003C1B51"/>
    <w:rsid w:val="003D22E1"/>
    <w:rsid w:val="003E0815"/>
    <w:rsid w:val="003E2AE9"/>
    <w:rsid w:val="003E40A6"/>
    <w:rsid w:val="003E4C47"/>
    <w:rsid w:val="003E4D7B"/>
    <w:rsid w:val="003E624C"/>
    <w:rsid w:val="003F06E6"/>
    <w:rsid w:val="003F1AD3"/>
    <w:rsid w:val="00402802"/>
    <w:rsid w:val="0041077C"/>
    <w:rsid w:val="00411504"/>
    <w:rsid w:val="004127BC"/>
    <w:rsid w:val="00417ECF"/>
    <w:rsid w:val="004351F2"/>
    <w:rsid w:val="0044078E"/>
    <w:rsid w:val="00443B3E"/>
    <w:rsid w:val="00447158"/>
    <w:rsid w:val="004478DF"/>
    <w:rsid w:val="004604C7"/>
    <w:rsid w:val="00460F38"/>
    <w:rsid w:val="0046131D"/>
    <w:rsid w:val="00461AAF"/>
    <w:rsid w:val="004648B3"/>
    <w:rsid w:val="00470B2E"/>
    <w:rsid w:val="00472615"/>
    <w:rsid w:val="00472C9A"/>
    <w:rsid w:val="00474806"/>
    <w:rsid w:val="00487214"/>
    <w:rsid w:val="004A0265"/>
    <w:rsid w:val="004A1C17"/>
    <w:rsid w:val="004A2141"/>
    <w:rsid w:val="004C012C"/>
    <w:rsid w:val="004C4D48"/>
    <w:rsid w:val="004C7CEE"/>
    <w:rsid w:val="004D0D7F"/>
    <w:rsid w:val="004D2FFC"/>
    <w:rsid w:val="004E095B"/>
    <w:rsid w:val="004E7E7F"/>
    <w:rsid w:val="005014D8"/>
    <w:rsid w:val="00501993"/>
    <w:rsid w:val="00524AF6"/>
    <w:rsid w:val="00526C90"/>
    <w:rsid w:val="00526FC1"/>
    <w:rsid w:val="00533DE6"/>
    <w:rsid w:val="00534ECA"/>
    <w:rsid w:val="0053678B"/>
    <w:rsid w:val="005420F4"/>
    <w:rsid w:val="00542CA1"/>
    <w:rsid w:val="00544146"/>
    <w:rsid w:val="00551FDB"/>
    <w:rsid w:val="00557BCA"/>
    <w:rsid w:val="00560CCD"/>
    <w:rsid w:val="005646A1"/>
    <w:rsid w:val="00567827"/>
    <w:rsid w:val="00571553"/>
    <w:rsid w:val="0057355A"/>
    <w:rsid w:val="00577AAD"/>
    <w:rsid w:val="005812AC"/>
    <w:rsid w:val="00582221"/>
    <w:rsid w:val="00591945"/>
    <w:rsid w:val="00591AC4"/>
    <w:rsid w:val="005975C7"/>
    <w:rsid w:val="00597E08"/>
    <w:rsid w:val="005A6D93"/>
    <w:rsid w:val="005B2031"/>
    <w:rsid w:val="005B48B2"/>
    <w:rsid w:val="005B6142"/>
    <w:rsid w:val="005C2B4A"/>
    <w:rsid w:val="005C3833"/>
    <w:rsid w:val="005C48CC"/>
    <w:rsid w:val="005C5D30"/>
    <w:rsid w:val="005C6443"/>
    <w:rsid w:val="005D15CC"/>
    <w:rsid w:val="005D4A71"/>
    <w:rsid w:val="005E21B8"/>
    <w:rsid w:val="005E5D6D"/>
    <w:rsid w:val="005F0278"/>
    <w:rsid w:val="005F0620"/>
    <w:rsid w:val="005F2FEC"/>
    <w:rsid w:val="005F6DAF"/>
    <w:rsid w:val="00603CAA"/>
    <w:rsid w:val="00604DEE"/>
    <w:rsid w:val="00604FA2"/>
    <w:rsid w:val="00605AF5"/>
    <w:rsid w:val="006141CD"/>
    <w:rsid w:val="00620956"/>
    <w:rsid w:val="00624613"/>
    <w:rsid w:val="00634F0E"/>
    <w:rsid w:val="006421BC"/>
    <w:rsid w:val="0064465F"/>
    <w:rsid w:val="0064642C"/>
    <w:rsid w:val="00655029"/>
    <w:rsid w:val="006641BA"/>
    <w:rsid w:val="00665062"/>
    <w:rsid w:val="00665988"/>
    <w:rsid w:val="00670704"/>
    <w:rsid w:val="006721DE"/>
    <w:rsid w:val="00675A23"/>
    <w:rsid w:val="00675EEF"/>
    <w:rsid w:val="00683464"/>
    <w:rsid w:val="006845A6"/>
    <w:rsid w:val="006979D7"/>
    <w:rsid w:val="006A41FA"/>
    <w:rsid w:val="006A60B9"/>
    <w:rsid w:val="006B01F3"/>
    <w:rsid w:val="006C1423"/>
    <w:rsid w:val="006D2B86"/>
    <w:rsid w:val="006D4BBE"/>
    <w:rsid w:val="006D525D"/>
    <w:rsid w:val="006F0372"/>
    <w:rsid w:val="006F5BAA"/>
    <w:rsid w:val="006F6292"/>
    <w:rsid w:val="00701F36"/>
    <w:rsid w:val="0070263B"/>
    <w:rsid w:val="00703A39"/>
    <w:rsid w:val="007040A8"/>
    <w:rsid w:val="007040FD"/>
    <w:rsid w:val="00712B3E"/>
    <w:rsid w:val="00715123"/>
    <w:rsid w:val="00727D03"/>
    <w:rsid w:val="00730574"/>
    <w:rsid w:val="00730794"/>
    <w:rsid w:val="00731C81"/>
    <w:rsid w:val="00741843"/>
    <w:rsid w:val="007427ED"/>
    <w:rsid w:val="00744206"/>
    <w:rsid w:val="00745F1C"/>
    <w:rsid w:val="00754688"/>
    <w:rsid w:val="00756590"/>
    <w:rsid w:val="00757051"/>
    <w:rsid w:val="007665AB"/>
    <w:rsid w:val="00767E04"/>
    <w:rsid w:val="00770A0D"/>
    <w:rsid w:val="007714E4"/>
    <w:rsid w:val="00772690"/>
    <w:rsid w:val="00772B7E"/>
    <w:rsid w:val="00774578"/>
    <w:rsid w:val="00774F9F"/>
    <w:rsid w:val="0077599A"/>
    <w:rsid w:val="00780E2F"/>
    <w:rsid w:val="00784324"/>
    <w:rsid w:val="00795751"/>
    <w:rsid w:val="007A1966"/>
    <w:rsid w:val="007B0473"/>
    <w:rsid w:val="007B20F1"/>
    <w:rsid w:val="007B6815"/>
    <w:rsid w:val="007B78F8"/>
    <w:rsid w:val="007C23A1"/>
    <w:rsid w:val="007C2637"/>
    <w:rsid w:val="007C6639"/>
    <w:rsid w:val="007D7359"/>
    <w:rsid w:val="007F1863"/>
    <w:rsid w:val="007F3392"/>
    <w:rsid w:val="007F3898"/>
    <w:rsid w:val="007F503F"/>
    <w:rsid w:val="008005E0"/>
    <w:rsid w:val="008072AC"/>
    <w:rsid w:val="008111C5"/>
    <w:rsid w:val="00813921"/>
    <w:rsid w:val="00820F6B"/>
    <w:rsid w:val="00834A0D"/>
    <w:rsid w:val="00841467"/>
    <w:rsid w:val="00843CD2"/>
    <w:rsid w:val="00846663"/>
    <w:rsid w:val="00850C67"/>
    <w:rsid w:val="00852FFA"/>
    <w:rsid w:val="0086502E"/>
    <w:rsid w:val="00866DB8"/>
    <w:rsid w:val="00871FD9"/>
    <w:rsid w:val="00875682"/>
    <w:rsid w:val="00882701"/>
    <w:rsid w:val="00883FB9"/>
    <w:rsid w:val="0088445F"/>
    <w:rsid w:val="008873AF"/>
    <w:rsid w:val="00895F50"/>
    <w:rsid w:val="008A2F28"/>
    <w:rsid w:val="008A36A5"/>
    <w:rsid w:val="008A3F99"/>
    <w:rsid w:val="008A53A8"/>
    <w:rsid w:val="008A6DA1"/>
    <w:rsid w:val="008A7C02"/>
    <w:rsid w:val="008B36C5"/>
    <w:rsid w:val="008B69F5"/>
    <w:rsid w:val="008B7AAC"/>
    <w:rsid w:val="008C163B"/>
    <w:rsid w:val="008C2DA4"/>
    <w:rsid w:val="008C3255"/>
    <w:rsid w:val="008C5200"/>
    <w:rsid w:val="008D0E37"/>
    <w:rsid w:val="008D1E0C"/>
    <w:rsid w:val="008D5076"/>
    <w:rsid w:val="008D587A"/>
    <w:rsid w:val="008E4292"/>
    <w:rsid w:val="008E78CC"/>
    <w:rsid w:val="008F53E1"/>
    <w:rsid w:val="009005DE"/>
    <w:rsid w:val="00902559"/>
    <w:rsid w:val="0090498D"/>
    <w:rsid w:val="00905E98"/>
    <w:rsid w:val="00915816"/>
    <w:rsid w:val="00916322"/>
    <w:rsid w:val="009207B2"/>
    <w:rsid w:val="009231A8"/>
    <w:rsid w:val="00931739"/>
    <w:rsid w:val="0093334A"/>
    <w:rsid w:val="0093491D"/>
    <w:rsid w:val="00944AEB"/>
    <w:rsid w:val="009462F4"/>
    <w:rsid w:val="00951356"/>
    <w:rsid w:val="00956E20"/>
    <w:rsid w:val="00960A5D"/>
    <w:rsid w:val="009669B5"/>
    <w:rsid w:val="00971ED8"/>
    <w:rsid w:val="0098032C"/>
    <w:rsid w:val="00983155"/>
    <w:rsid w:val="00984762"/>
    <w:rsid w:val="00985FAD"/>
    <w:rsid w:val="00994BF1"/>
    <w:rsid w:val="009960DC"/>
    <w:rsid w:val="00997005"/>
    <w:rsid w:val="009A0A77"/>
    <w:rsid w:val="009A753C"/>
    <w:rsid w:val="009B36E4"/>
    <w:rsid w:val="009C066A"/>
    <w:rsid w:val="009C23EF"/>
    <w:rsid w:val="009C2E9B"/>
    <w:rsid w:val="009C33DD"/>
    <w:rsid w:val="009D11EF"/>
    <w:rsid w:val="009E53AE"/>
    <w:rsid w:val="009F10CC"/>
    <w:rsid w:val="009F526B"/>
    <w:rsid w:val="009F6D4C"/>
    <w:rsid w:val="009F6FF5"/>
    <w:rsid w:val="00A0295F"/>
    <w:rsid w:val="00A05C7A"/>
    <w:rsid w:val="00A06362"/>
    <w:rsid w:val="00A06EA4"/>
    <w:rsid w:val="00A073E5"/>
    <w:rsid w:val="00A1516A"/>
    <w:rsid w:val="00A2410E"/>
    <w:rsid w:val="00A2698B"/>
    <w:rsid w:val="00A31CA5"/>
    <w:rsid w:val="00A34331"/>
    <w:rsid w:val="00A36E8F"/>
    <w:rsid w:val="00A41989"/>
    <w:rsid w:val="00A53288"/>
    <w:rsid w:val="00A54FFA"/>
    <w:rsid w:val="00A55271"/>
    <w:rsid w:val="00A60A41"/>
    <w:rsid w:val="00A70AB4"/>
    <w:rsid w:val="00A747CD"/>
    <w:rsid w:val="00A76505"/>
    <w:rsid w:val="00A77391"/>
    <w:rsid w:val="00A7799B"/>
    <w:rsid w:val="00A82DA2"/>
    <w:rsid w:val="00A82E1E"/>
    <w:rsid w:val="00A87D75"/>
    <w:rsid w:val="00A908FC"/>
    <w:rsid w:val="00A911F4"/>
    <w:rsid w:val="00AA17E6"/>
    <w:rsid w:val="00AB05DE"/>
    <w:rsid w:val="00AB28B9"/>
    <w:rsid w:val="00AB3B0E"/>
    <w:rsid w:val="00AB3DA0"/>
    <w:rsid w:val="00AC1179"/>
    <w:rsid w:val="00AC4365"/>
    <w:rsid w:val="00AC6057"/>
    <w:rsid w:val="00AD1F46"/>
    <w:rsid w:val="00AD6219"/>
    <w:rsid w:val="00AD71D3"/>
    <w:rsid w:val="00AD7D09"/>
    <w:rsid w:val="00AE04BF"/>
    <w:rsid w:val="00AE28F3"/>
    <w:rsid w:val="00AE2D66"/>
    <w:rsid w:val="00AE34C2"/>
    <w:rsid w:val="00AF0F34"/>
    <w:rsid w:val="00AF57C1"/>
    <w:rsid w:val="00AF71EE"/>
    <w:rsid w:val="00B00E00"/>
    <w:rsid w:val="00B04B94"/>
    <w:rsid w:val="00B05F94"/>
    <w:rsid w:val="00B06544"/>
    <w:rsid w:val="00B06E2C"/>
    <w:rsid w:val="00B07F62"/>
    <w:rsid w:val="00B11716"/>
    <w:rsid w:val="00B21244"/>
    <w:rsid w:val="00B21F06"/>
    <w:rsid w:val="00B307E3"/>
    <w:rsid w:val="00B32448"/>
    <w:rsid w:val="00B340C7"/>
    <w:rsid w:val="00B35E9E"/>
    <w:rsid w:val="00B44775"/>
    <w:rsid w:val="00B473B5"/>
    <w:rsid w:val="00B51A83"/>
    <w:rsid w:val="00B57F68"/>
    <w:rsid w:val="00B63161"/>
    <w:rsid w:val="00B7300F"/>
    <w:rsid w:val="00B833C4"/>
    <w:rsid w:val="00B8364A"/>
    <w:rsid w:val="00B91DEE"/>
    <w:rsid w:val="00B93C72"/>
    <w:rsid w:val="00B96321"/>
    <w:rsid w:val="00BA4F21"/>
    <w:rsid w:val="00BB2181"/>
    <w:rsid w:val="00BB4F9A"/>
    <w:rsid w:val="00BB6264"/>
    <w:rsid w:val="00BC1041"/>
    <w:rsid w:val="00BC19BC"/>
    <w:rsid w:val="00BC671D"/>
    <w:rsid w:val="00BE66D1"/>
    <w:rsid w:val="00BF22E3"/>
    <w:rsid w:val="00BF549D"/>
    <w:rsid w:val="00BF7378"/>
    <w:rsid w:val="00C0376E"/>
    <w:rsid w:val="00C07B47"/>
    <w:rsid w:val="00C13975"/>
    <w:rsid w:val="00C1462A"/>
    <w:rsid w:val="00C20ABD"/>
    <w:rsid w:val="00C248C7"/>
    <w:rsid w:val="00C27128"/>
    <w:rsid w:val="00C27B37"/>
    <w:rsid w:val="00C27D64"/>
    <w:rsid w:val="00C411D2"/>
    <w:rsid w:val="00C42FF2"/>
    <w:rsid w:val="00C45A2D"/>
    <w:rsid w:val="00C511A1"/>
    <w:rsid w:val="00C54D97"/>
    <w:rsid w:val="00C55E8D"/>
    <w:rsid w:val="00C57F6F"/>
    <w:rsid w:val="00C6065B"/>
    <w:rsid w:val="00C60670"/>
    <w:rsid w:val="00C62843"/>
    <w:rsid w:val="00C62B57"/>
    <w:rsid w:val="00C77E97"/>
    <w:rsid w:val="00C810DA"/>
    <w:rsid w:val="00C81ABF"/>
    <w:rsid w:val="00C85E85"/>
    <w:rsid w:val="00C86880"/>
    <w:rsid w:val="00C96FB9"/>
    <w:rsid w:val="00C97891"/>
    <w:rsid w:val="00C9791E"/>
    <w:rsid w:val="00CA6F46"/>
    <w:rsid w:val="00CB0A58"/>
    <w:rsid w:val="00CB0A90"/>
    <w:rsid w:val="00CB2E20"/>
    <w:rsid w:val="00CB46DD"/>
    <w:rsid w:val="00CC027E"/>
    <w:rsid w:val="00CC2F48"/>
    <w:rsid w:val="00CC6C5D"/>
    <w:rsid w:val="00CD3958"/>
    <w:rsid w:val="00CE26EC"/>
    <w:rsid w:val="00CE3776"/>
    <w:rsid w:val="00CF09CD"/>
    <w:rsid w:val="00CF2B0F"/>
    <w:rsid w:val="00CF4CF5"/>
    <w:rsid w:val="00CF5B33"/>
    <w:rsid w:val="00CF5D3B"/>
    <w:rsid w:val="00CF6704"/>
    <w:rsid w:val="00D002DB"/>
    <w:rsid w:val="00D02074"/>
    <w:rsid w:val="00D02B32"/>
    <w:rsid w:val="00D152F5"/>
    <w:rsid w:val="00D17F5F"/>
    <w:rsid w:val="00D21006"/>
    <w:rsid w:val="00D464BD"/>
    <w:rsid w:val="00D516A8"/>
    <w:rsid w:val="00D62F77"/>
    <w:rsid w:val="00D65147"/>
    <w:rsid w:val="00D71C68"/>
    <w:rsid w:val="00D727E7"/>
    <w:rsid w:val="00D75515"/>
    <w:rsid w:val="00D8608E"/>
    <w:rsid w:val="00D86138"/>
    <w:rsid w:val="00D90A43"/>
    <w:rsid w:val="00DA2BF9"/>
    <w:rsid w:val="00DC2371"/>
    <w:rsid w:val="00DC7D66"/>
    <w:rsid w:val="00DD1CF8"/>
    <w:rsid w:val="00DD3078"/>
    <w:rsid w:val="00DD6A96"/>
    <w:rsid w:val="00DE489B"/>
    <w:rsid w:val="00DE6741"/>
    <w:rsid w:val="00DE6F7F"/>
    <w:rsid w:val="00DE7124"/>
    <w:rsid w:val="00DF17B6"/>
    <w:rsid w:val="00DF2312"/>
    <w:rsid w:val="00DF2ED4"/>
    <w:rsid w:val="00DF499C"/>
    <w:rsid w:val="00DF5A26"/>
    <w:rsid w:val="00E00BF6"/>
    <w:rsid w:val="00E025BE"/>
    <w:rsid w:val="00E0587C"/>
    <w:rsid w:val="00E13F21"/>
    <w:rsid w:val="00E1758D"/>
    <w:rsid w:val="00E2114F"/>
    <w:rsid w:val="00E364BA"/>
    <w:rsid w:val="00E50390"/>
    <w:rsid w:val="00E60287"/>
    <w:rsid w:val="00E62578"/>
    <w:rsid w:val="00E650B1"/>
    <w:rsid w:val="00E71F78"/>
    <w:rsid w:val="00E74F8E"/>
    <w:rsid w:val="00E75A52"/>
    <w:rsid w:val="00E76E29"/>
    <w:rsid w:val="00E823C2"/>
    <w:rsid w:val="00E854C1"/>
    <w:rsid w:val="00E900B2"/>
    <w:rsid w:val="00E92E2D"/>
    <w:rsid w:val="00E93CA2"/>
    <w:rsid w:val="00E93FF6"/>
    <w:rsid w:val="00E94826"/>
    <w:rsid w:val="00E96652"/>
    <w:rsid w:val="00E96F82"/>
    <w:rsid w:val="00EA541B"/>
    <w:rsid w:val="00EA6658"/>
    <w:rsid w:val="00EB2753"/>
    <w:rsid w:val="00EB4110"/>
    <w:rsid w:val="00EB4EB0"/>
    <w:rsid w:val="00EC13B1"/>
    <w:rsid w:val="00EC140C"/>
    <w:rsid w:val="00EC1746"/>
    <w:rsid w:val="00ED2F36"/>
    <w:rsid w:val="00EE58EB"/>
    <w:rsid w:val="00EE67BF"/>
    <w:rsid w:val="00EE7F63"/>
    <w:rsid w:val="00EF214A"/>
    <w:rsid w:val="00EF2B6E"/>
    <w:rsid w:val="00EF6BD3"/>
    <w:rsid w:val="00EF78D2"/>
    <w:rsid w:val="00F06982"/>
    <w:rsid w:val="00F10C9E"/>
    <w:rsid w:val="00F11220"/>
    <w:rsid w:val="00F1185F"/>
    <w:rsid w:val="00F12AEC"/>
    <w:rsid w:val="00F13FA9"/>
    <w:rsid w:val="00F2114F"/>
    <w:rsid w:val="00F23EAB"/>
    <w:rsid w:val="00F24D19"/>
    <w:rsid w:val="00F260DA"/>
    <w:rsid w:val="00F3017A"/>
    <w:rsid w:val="00F30A6A"/>
    <w:rsid w:val="00F342C5"/>
    <w:rsid w:val="00F34FF0"/>
    <w:rsid w:val="00F448F6"/>
    <w:rsid w:val="00F44E53"/>
    <w:rsid w:val="00F53151"/>
    <w:rsid w:val="00F5752D"/>
    <w:rsid w:val="00F61029"/>
    <w:rsid w:val="00F65A0D"/>
    <w:rsid w:val="00F71041"/>
    <w:rsid w:val="00F711F2"/>
    <w:rsid w:val="00F75437"/>
    <w:rsid w:val="00F76A00"/>
    <w:rsid w:val="00F84781"/>
    <w:rsid w:val="00F8615D"/>
    <w:rsid w:val="00F8793E"/>
    <w:rsid w:val="00F92596"/>
    <w:rsid w:val="00F932DB"/>
    <w:rsid w:val="00F96F0D"/>
    <w:rsid w:val="00FA44CB"/>
    <w:rsid w:val="00FA507B"/>
    <w:rsid w:val="00FA612B"/>
    <w:rsid w:val="00FA76B1"/>
    <w:rsid w:val="00FB4A77"/>
    <w:rsid w:val="00FC71E6"/>
    <w:rsid w:val="00FC7594"/>
    <w:rsid w:val="00FD411D"/>
    <w:rsid w:val="00FD6FD0"/>
    <w:rsid w:val="00FF3AA0"/>
    <w:rsid w:val="00FF40A0"/>
    <w:rsid w:val="00FF4482"/>
    <w:rsid w:val="0FFF3B6A"/>
    <w:rsid w:val="1411EB6C"/>
    <w:rsid w:val="1447701E"/>
    <w:rsid w:val="1E928742"/>
    <w:rsid w:val="299842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8CAAE"/>
  <w15:docId w15:val="{71B67E38-FBC5-4298-B6CC-FBA18A6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F21"/>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3274FB"/>
    <w:pPr>
      <w:numPr>
        <w:numId w:val="1"/>
      </w:numPr>
      <w:outlineLvl w:val="0"/>
    </w:pPr>
    <w:rPr>
      <w:b/>
      <w:bCs/>
      <w:color w:val="70AD47"/>
    </w:rPr>
  </w:style>
  <w:style w:type="paragraph" w:styleId="Heading2">
    <w:name w:val="heading 2"/>
    <w:basedOn w:val="Normal"/>
    <w:next w:val="Normal"/>
    <w:link w:val="Heading2Char"/>
    <w:uiPriority w:val="9"/>
    <w:unhideWhenUsed/>
    <w:qFormat/>
    <w:rsid w:val="00944AEB"/>
    <w:pPr>
      <w:keepNext/>
      <w:keepLines/>
      <w:spacing w:before="40" w:line="259" w:lineRule="auto"/>
      <w:outlineLvl w:val="1"/>
    </w:pPr>
    <w:rPr>
      <w:rFonts w:asciiTheme="majorHAnsi" w:eastAsiaTheme="majorEastAsia" w:hAnsiTheme="majorHAnsi" w:cstheme="majorBidi"/>
      <w:color w:val="3E762A" w:themeColor="accent1" w:themeShade="BF"/>
      <w:sz w:val="26"/>
      <w:szCs w:val="26"/>
      <w:lang w:val="en-GB"/>
    </w:rPr>
  </w:style>
  <w:style w:type="paragraph" w:styleId="Heading3">
    <w:name w:val="heading 3"/>
    <w:basedOn w:val="Normal"/>
    <w:next w:val="Normal"/>
    <w:link w:val="Heading3Char"/>
    <w:uiPriority w:val="9"/>
    <w:unhideWhenUsed/>
    <w:qFormat/>
    <w:rsid w:val="00944AEB"/>
    <w:pPr>
      <w:keepNext/>
      <w:keepLines/>
      <w:spacing w:before="40" w:after="160" w:line="259" w:lineRule="auto"/>
      <w:ind w:left="720" w:hanging="720"/>
      <w:outlineLvl w:val="2"/>
    </w:pPr>
    <w:rPr>
      <w:rFonts w:ascii="Calibri" w:eastAsiaTheme="majorEastAsia" w:hAnsi="Calibri" w:cstheme="majorBidi"/>
      <w:color w:val="84BF41"/>
      <w:sz w:val="22"/>
      <w:szCs w:val="22"/>
      <w:lang w:val="en-GB"/>
    </w:rPr>
  </w:style>
  <w:style w:type="paragraph" w:styleId="Heading4">
    <w:name w:val="heading 4"/>
    <w:basedOn w:val="Normal"/>
    <w:next w:val="Normal"/>
    <w:link w:val="Heading4Char"/>
    <w:uiPriority w:val="9"/>
    <w:unhideWhenUsed/>
    <w:qFormat/>
    <w:rsid w:val="00944AEB"/>
    <w:pPr>
      <w:keepNext/>
      <w:keepLines/>
      <w:spacing w:before="40" w:after="160" w:line="259" w:lineRule="auto"/>
      <w:ind w:left="864" w:hanging="864"/>
      <w:outlineLvl w:val="3"/>
    </w:pPr>
    <w:rPr>
      <w:rFonts w:ascii="Calibri" w:eastAsiaTheme="majorEastAsia" w:hAnsi="Calibri" w:cstheme="majorBidi"/>
      <w:i/>
      <w:iCs/>
      <w:color w:val="84BF41"/>
      <w:sz w:val="22"/>
      <w:szCs w:val="22"/>
      <w:lang w:val="en-GB"/>
    </w:rPr>
  </w:style>
  <w:style w:type="paragraph" w:styleId="Heading5">
    <w:name w:val="heading 5"/>
    <w:basedOn w:val="Normal"/>
    <w:next w:val="Normal"/>
    <w:link w:val="Heading5Char"/>
    <w:uiPriority w:val="9"/>
    <w:semiHidden/>
    <w:unhideWhenUsed/>
    <w:rsid w:val="00944AEB"/>
    <w:pPr>
      <w:keepNext/>
      <w:keepLines/>
      <w:spacing w:before="40"/>
      <w:ind w:left="1008" w:hanging="1008"/>
      <w:outlineLvl w:val="4"/>
    </w:pPr>
    <w:rPr>
      <w:rFonts w:asciiTheme="majorHAnsi" w:eastAsiaTheme="majorEastAsia" w:hAnsiTheme="majorHAnsi" w:cstheme="majorBidi"/>
      <w:color w:val="3E762A" w:themeColor="accent1" w:themeShade="BF"/>
    </w:rPr>
  </w:style>
  <w:style w:type="paragraph" w:styleId="Heading6">
    <w:name w:val="heading 6"/>
    <w:basedOn w:val="Normal"/>
    <w:next w:val="Normal"/>
    <w:link w:val="Heading6Char"/>
    <w:uiPriority w:val="9"/>
    <w:semiHidden/>
    <w:unhideWhenUsed/>
    <w:qFormat/>
    <w:rsid w:val="00944AEB"/>
    <w:pPr>
      <w:keepNext/>
      <w:keepLines/>
      <w:spacing w:before="40"/>
      <w:ind w:left="1152" w:hanging="1152"/>
      <w:outlineLvl w:val="5"/>
    </w:pPr>
    <w:rPr>
      <w:rFonts w:asciiTheme="majorHAnsi" w:eastAsiaTheme="majorEastAsia" w:hAnsiTheme="majorHAnsi" w:cstheme="majorBidi"/>
      <w:color w:val="294E1C" w:themeColor="accent1" w:themeShade="7F"/>
    </w:rPr>
  </w:style>
  <w:style w:type="paragraph" w:styleId="Heading7">
    <w:name w:val="heading 7"/>
    <w:basedOn w:val="Normal"/>
    <w:next w:val="Normal"/>
    <w:link w:val="Heading7Char"/>
    <w:uiPriority w:val="9"/>
    <w:semiHidden/>
    <w:unhideWhenUsed/>
    <w:qFormat/>
    <w:rsid w:val="00944AEB"/>
    <w:pPr>
      <w:keepNext/>
      <w:keepLines/>
      <w:spacing w:before="40"/>
      <w:ind w:left="1296" w:hanging="1296"/>
      <w:outlineLvl w:val="6"/>
    </w:pPr>
    <w:rPr>
      <w:rFonts w:asciiTheme="majorHAnsi" w:eastAsiaTheme="majorEastAsia" w:hAnsiTheme="majorHAnsi" w:cstheme="majorBidi"/>
      <w:i/>
      <w:iCs/>
      <w:color w:val="294E1C" w:themeColor="accent1" w:themeShade="7F"/>
    </w:rPr>
  </w:style>
  <w:style w:type="paragraph" w:styleId="Heading8">
    <w:name w:val="heading 8"/>
    <w:basedOn w:val="Normal"/>
    <w:next w:val="Normal"/>
    <w:link w:val="Heading8Char"/>
    <w:uiPriority w:val="9"/>
    <w:semiHidden/>
    <w:unhideWhenUsed/>
    <w:qFormat/>
    <w:rsid w:val="00944AEB"/>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4AEB"/>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921"/>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13921"/>
    <w:rPr>
      <w:lang w:val="en-GB"/>
    </w:rPr>
  </w:style>
  <w:style w:type="paragraph" w:styleId="Footer">
    <w:name w:val="footer"/>
    <w:basedOn w:val="Normal"/>
    <w:link w:val="FooterChar"/>
    <w:uiPriority w:val="99"/>
    <w:unhideWhenUsed/>
    <w:rsid w:val="00813921"/>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13921"/>
    <w:rPr>
      <w:lang w:val="en-GB"/>
    </w:rPr>
  </w:style>
  <w:style w:type="paragraph" w:styleId="ListParagraph">
    <w:name w:val="List Paragraph"/>
    <w:aliases w:val="Dot pt,No Spacing1,List Paragraph Char Char Char,Indicator Text,List Paragraph1,Numbered Para 1,List Paragraph12,MAIN CONTENT,Bullet 1,Colorful List - Accent 11,references,Numbered List Paragraph,Indent Paragraph,Heading3"/>
    <w:basedOn w:val="Normal"/>
    <w:link w:val="ListParagraphChar"/>
    <w:uiPriority w:val="34"/>
    <w:qFormat/>
    <w:rsid w:val="00813921"/>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Heading1Char">
    <w:name w:val="Heading 1 Char"/>
    <w:basedOn w:val="DefaultParagraphFont"/>
    <w:link w:val="Heading1"/>
    <w:uiPriority w:val="9"/>
    <w:rsid w:val="003274FB"/>
    <w:rPr>
      <w:b/>
      <w:bCs/>
      <w:color w:val="70AD47"/>
      <w:lang w:val="en-GB"/>
    </w:rPr>
  </w:style>
  <w:style w:type="paragraph" w:styleId="BalloonText">
    <w:name w:val="Balloon Text"/>
    <w:basedOn w:val="Normal"/>
    <w:link w:val="BalloonTextChar"/>
    <w:uiPriority w:val="99"/>
    <w:semiHidden/>
    <w:unhideWhenUsed/>
    <w:rsid w:val="00EA6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58"/>
    <w:rPr>
      <w:rFonts w:ascii="Segoe UI" w:hAnsi="Segoe UI" w:cs="Segoe UI"/>
      <w:sz w:val="18"/>
      <w:szCs w:val="18"/>
      <w:lang w:val="en-GB"/>
    </w:rPr>
  </w:style>
  <w:style w:type="paragraph" w:styleId="FootnoteText">
    <w:name w:val="footnote text"/>
    <w:basedOn w:val="Normal"/>
    <w:link w:val="FootnoteTextChar"/>
    <w:uiPriority w:val="99"/>
    <w:unhideWhenUsed/>
    <w:qFormat/>
    <w:rsid w:val="00EE58EB"/>
    <w:rPr>
      <w:rFonts w:ascii="Verdana" w:hAnsi="Verdana"/>
      <w:sz w:val="20"/>
      <w:szCs w:val="20"/>
    </w:rPr>
  </w:style>
  <w:style w:type="character" w:customStyle="1" w:styleId="FootnoteTextChar">
    <w:name w:val="Footnote Text Char"/>
    <w:basedOn w:val="DefaultParagraphFont"/>
    <w:link w:val="FootnoteText"/>
    <w:uiPriority w:val="99"/>
    <w:qFormat/>
    <w:rsid w:val="00EE58EB"/>
    <w:rPr>
      <w:rFonts w:ascii="Verdana" w:eastAsia="Times New Roman" w:hAnsi="Verdana" w:cs="Times New Roman"/>
      <w:sz w:val="20"/>
      <w:szCs w:val="20"/>
    </w:rPr>
  </w:style>
  <w:style w:type="character" w:styleId="FootnoteReference">
    <w:name w:val="footnote reference"/>
    <w:aliases w:val="ftref"/>
    <w:basedOn w:val="DefaultParagraphFont"/>
    <w:uiPriority w:val="99"/>
    <w:unhideWhenUsed/>
    <w:qFormat/>
    <w:rsid w:val="00EE58EB"/>
    <w:rPr>
      <w:vertAlign w:val="superscript"/>
    </w:rPr>
  </w:style>
  <w:style w:type="paragraph" w:customStyle="1" w:styleId="BulletList2">
    <w:name w:val="Bullet List 2"/>
    <w:basedOn w:val="BulletList1"/>
    <w:qFormat/>
    <w:rsid w:val="009F6D4C"/>
    <w:pPr>
      <w:numPr>
        <w:ilvl w:val="1"/>
      </w:numPr>
      <w:tabs>
        <w:tab w:val="clear" w:pos="340"/>
      </w:tabs>
    </w:pPr>
  </w:style>
  <w:style w:type="paragraph" w:customStyle="1" w:styleId="BulletList1">
    <w:name w:val="Bullet List 1"/>
    <w:basedOn w:val="Normal"/>
    <w:qFormat/>
    <w:rsid w:val="009F6D4C"/>
    <w:pPr>
      <w:numPr>
        <w:numId w:val="4"/>
      </w:numPr>
      <w:tabs>
        <w:tab w:val="left" w:pos="340"/>
      </w:tabs>
      <w:spacing w:before="120" w:after="120" w:line="264" w:lineRule="auto"/>
    </w:pPr>
    <w:rPr>
      <w:rFonts w:ascii="Calibri" w:eastAsiaTheme="minorHAnsi" w:hAnsi="Calibri" w:cstheme="minorBidi"/>
      <w:sz w:val="22"/>
      <w:szCs w:val="22"/>
      <w:lang w:val="en-GB"/>
    </w:rPr>
  </w:style>
  <w:style w:type="paragraph" w:customStyle="1" w:styleId="BulletList3">
    <w:name w:val="Bullet List 3"/>
    <w:basedOn w:val="BulletList2"/>
    <w:qFormat/>
    <w:rsid w:val="009F6D4C"/>
    <w:pPr>
      <w:numPr>
        <w:ilvl w:val="2"/>
      </w:numPr>
      <w:tabs>
        <w:tab w:val="left" w:pos="680"/>
      </w:tabs>
    </w:pPr>
  </w:style>
  <w:style w:type="paragraph" w:customStyle="1" w:styleId="BulletList4">
    <w:name w:val="Bullet List 4"/>
    <w:basedOn w:val="BulletList3"/>
    <w:rsid w:val="009F6D4C"/>
    <w:pPr>
      <w:numPr>
        <w:ilvl w:val="3"/>
      </w:numPr>
    </w:pPr>
  </w:style>
  <w:style w:type="paragraph" w:customStyle="1" w:styleId="BulletList5">
    <w:name w:val="Bullet List 5"/>
    <w:basedOn w:val="BulletList4"/>
    <w:rsid w:val="009F6D4C"/>
    <w:pPr>
      <w:numPr>
        <w:ilvl w:val="4"/>
      </w:numPr>
    </w:pPr>
  </w:style>
  <w:style w:type="paragraph" w:customStyle="1" w:styleId="BulletList6">
    <w:name w:val="Bullet List 6"/>
    <w:basedOn w:val="BulletList5"/>
    <w:rsid w:val="009F6D4C"/>
    <w:pPr>
      <w:numPr>
        <w:ilvl w:val="5"/>
      </w:numPr>
    </w:pPr>
  </w:style>
  <w:style w:type="paragraph" w:customStyle="1" w:styleId="BulletList7">
    <w:name w:val="Bullet List 7"/>
    <w:basedOn w:val="BulletList6"/>
    <w:rsid w:val="009F6D4C"/>
    <w:pPr>
      <w:numPr>
        <w:ilvl w:val="6"/>
      </w:numPr>
    </w:pPr>
  </w:style>
  <w:style w:type="paragraph" w:customStyle="1" w:styleId="BulletList8">
    <w:name w:val="Bullet List 8"/>
    <w:basedOn w:val="BulletList7"/>
    <w:rsid w:val="009F6D4C"/>
    <w:pPr>
      <w:numPr>
        <w:ilvl w:val="7"/>
      </w:numPr>
    </w:pPr>
  </w:style>
  <w:style w:type="paragraph" w:customStyle="1" w:styleId="BulletList9">
    <w:name w:val="Bullet List 9"/>
    <w:basedOn w:val="BulletList8"/>
    <w:rsid w:val="009F6D4C"/>
    <w:pPr>
      <w:numPr>
        <w:ilvl w:val="8"/>
      </w:numPr>
    </w:pPr>
  </w:style>
  <w:style w:type="numbering" w:customStyle="1" w:styleId="Bullets">
    <w:name w:val="Bullets"/>
    <w:basedOn w:val="NoList"/>
    <w:uiPriority w:val="99"/>
    <w:rsid w:val="009F6D4C"/>
    <w:pPr>
      <w:numPr>
        <w:numId w:val="4"/>
      </w:numPr>
    </w:pPr>
  </w:style>
  <w:style w:type="paragraph" w:styleId="BodyText">
    <w:name w:val="Body Text"/>
    <w:basedOn w:val="Normal"/>
    <w:link w:val="BodyTextChar"/>
    <w:qFormat/>
    <w:rsid w:val="000A39D9"/>
    <w:pPr>
      <w:spacing w:before="120" w:after="120" w:line="264" w:lineRule="auto"/>
      <w:jc w:val="both"/>
    </w:pPr>
    <w:rPr>
      <w:rFonts w:ascii="Calibri" w:hAnsi="Calibri"/>
      <w:sz w:val="22"/>
      <w:lang w:val="en-GB" w:eastAsia="en-GB"/>
    </w:rPr>
  </w:style>
  <w:style w:type="character" w:customStyle="1" w:styleId="BodyTextChar">
    <w:name w:val="Body Text Char"/>
    <w:basedOn w:val="DefaultParagraphFont"/>
    <w:link w:val="BodyText"/>
    <w:rsid w:val="000A39D9"/>
    <w:rPr>
      <w:rFonts w:ascii="Calibri" w:eastAsia="Times New Roman" w:hAnsi="Calibri" w:cs="Times New Roman"/>
      <w:szCs w:val="24"/>
      <w:lang w:val="en-GB" w:eastAsia="en-GB"/>
    </w:rPr>
  </w:style>
  <w:style w:type="character" w:customStyle="1" w:styleId="ListParagraphChar">
    <w:name w:val="List Paragraph Char"/>
    <w:aliases w:val="Dot pt Char,No Spacing1 Char,List Paragraph Char Char Char Char,Indicator Text Char,List Paragraph1 Char,Numbered Para 1 Char,List Paragraph12 Char,MAIN CONTENT Char,Bullet 1 Char,Colorful List - Accent 11 Char,references Char"/>
    <w:link w:val="ListParagraph"/>
    <w:uiPriority w:val="34"/>
    <w:locked/>
    <w:rsid w:val="00A34331"/>
    <w:rPr>
      <w:lang w:val="en-GB"/>
    </w:rPr>
  </w:style>
  <w:style w:type="character" w:styleId="CommentReference">
    <w:name w:val="annotation reference"/>
    <w:basedOn w:val="DefaultParagraphFont"/>
    <w:uiPriority w:val="99"/>
    <w:semiHidden/>
    <w:unhideWhenUsed/>
    <w:rsid w:val="00D02B32"/>
    <w:rPr>
      <w:sz w:val="16"/>
      <w:szCs w:val="16"/>
    </w:rPr>
  </w:style>
  <w:style w:type="paragraph" w:styleId="CommentText">
    <w:name w:val="annotation text"/>
    <w:basedOn w:val="Normal"/>
    <w:link w:val="CommentTextChar"/>
    <w:uiPriority w:val="99"/>
    <w:semiHidden/>
    <w:unhideWhenUsed/>
    <w:rsid w:val="00D02B32"/>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D02B32"/>
    <w:rPr>
      <w:sz w:val="20"/>
      <w:szCs w:val="20"/>
      <w:lang w:val="en-GB"/>
    </w:rPr>
  </w:style>
  <w:style w:type="paragraph" w:styleId="CommentSubject">
    <w:name w:val="annotation subject"/>
    <w:basedOn w:val="CommentText"/>
    <w:next w:val="CommentText"/>
    <w:link w:val="CommentSubjectChar"/>
    <w:uiPriority w:val="99"/>
    <w:semiHidden/>
    <w:unhideWhenUsed/>
    <w:rsid w:val="00D02B32"/>
    <w:rPr>
      <w:b/>
      <w:bCs/>
    </w:rPr>
  </w:style>
  <w:style w:type="character" w:customStyle="1" w:styleId="CommentSubjectChar">
    <w:name w:val="Comment Subject Char"/>
    <w:basedOn w:val="CommentTextChar"/>
    <w:link w:val="CommentSubject"/>
    <w:uiPriority w:val="99"/>
    <w:semiHidden/>
    <w:rsid w:val="00D02B32"/>
    <w:rPr>
      <w:b/>
      <w:bCs/>
      <w:sz w:val="20"/>
      <w:szCs w:val="20"/>
      <w:lang w:val="en-GB"/>
    </w:rPr>
  </w:style>
  <w:style w:type="character" w:styleId="Hyperlink">
    <w:name w:val="Hyperlink"/>
    <w:basedOn w:val="DefaultParagraphFont"/>
    <w:uiPriority w:val="99"/>
    <w:unhideWhenUsed/>
    <w:rsid w:val="004E095B"/>
    <w:rPr>
      <w:color w:val="6B9F25" w:themeColor="hyperlink"/>
      <w:u w:val="single"/>
    </w:rPr>
  </w:style>
  <w:style w:type="character" w:customStyle="1" w:styleId="UnresolvedMention1">
    <w:name w:val="Unresolved Mention1"/>
    <w:basedOn w:val="DefaultParagraphFont"/>
    <w:uiPriority w:val="99"/>
    <w:semiHidden/>
    <w:unhideWhenUsed/>
    <w:rsid w:val="004E095B"/>
    <w:rPr>
      <w:color w:val="605E5C"/>
      <w:shd w:val="clear" w:color="auto" w:fill="E1DFDD"/>
    </w:rPr>
  </w:style>
  <w:style w:type="table" w:styleId="TableGrid">
    <w:name w:val="Table Grid"/>
    <w:basedOn w:val="TableNormal"/>
    <w:uiPriority w:val="39"/>
    <w:rsid w:val="00354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D625F"/>
    <w:pPr>
      <w:spacing w:after="200"/>
    </w:pPr>
    <w:rPr>
      <w:rFonts w:asciiTheme="minorHAnsi" w:eastAsiaTheme="minorHAnsi" w:hAnsiTheme="minorHAnsi" w:cstheme="minorBidi"/>
      <w:i/>
      <w:iCs/>
      <w:color w:val="455F51" w:themeColor="text2"/>
      <w:sz w:val="18"/>
      <w:szCs w:val="18"/>
      <w:lang w:val="en-GB"/>
    </w:rPr>
  </w:style>
  <w:style w:type="character" w:styleId="Strong">
    <w:name w:val="Strong"/>
    <w:basedOn w:val="DefaultParagraphFont"/>
    <w:uiPriority w:val="22"/>
    <w:qFormat/>
    <w:rsid w:val="00605AF5"/>
    <w:rPr>
      <w:b/>
      <w:bCs/>
    </w:rPr>
  </w:style>
  <w:style w:type="table" w:styleId="TableGridLight">
    <w:name w:val="Grid Table Light"/>
    <w:basedOn w:val="TableNormal"/>
    <w:uiPriority w:val="40"/>
    <w:rsid w:val="009C2E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B6264"/>
    <w:pPr>
      <w:spacing w:before="100" w:beforeAutospacing="1" w:after="100" w:afterAutospacing="1"/>
    </w:pPr>
    <w:rPr>
      <w:lang w:val="en-ZA" w:eastAsia="en-ZA"/>
    </w:rPr>
  </w:style>
  <w:style w:type="character" w:customStyle="1" w:styleId="Heading2Char">
    <w:name w:val="Heading 2 Char"/>
    <w:basedOn w:val="DefaultParagraphFont"/>
    <w:link w:val="Heading2"/>
    <w:uiPriority w:val="9"/>
    <w:semiHidden/>
    <w:rsid w:val="00944AEB"/>
    <w:rPr>
      <w:rFonts w:asciiTheme="majorHAnsi" w:eastAsiaTheme="majorEastAsia" w:hAnsiTheme="majorHAnsi" w:cstheme="majorBidi"/>
      <w:color w:val="3E762A" w:themeColor="accent1" w:themeShade="BF"/>
      <w:sz w:val="26"/>
      <w:szCs w:val="26"/>
      <w:lang w:val="en-GB"/>
    </w:rPr>
  </w:style>
  <w:style w:type="paragraph" w:styleId="BodyTextIndent">
    <w:name w:val="Body Text Indent"/>
    <w:basedOn w:val="Normal"/>
    <w:link w:val="BodyTextIndentChar"/>
    <w:uiPriority w:val="99"/>
    <w:unhideWhenUsed/>
    <w:rsid w:val="00944AEB"/>
    <w:pPr>
      <w:spacing w:after="120" w:line="259" w:lineRule="auto"/>
      <w:ind w:left="360"/>
    </w:pPr>
    <w:rPr>
      <w:rFonts w:asciiTheme="minorHAnsi" w:eastAsiaTheme="minorHAnsi" w:hAnsiTheme="minorHAnsi" w:cstheme="minorBidi"/>
      <w:sz w:val="22"/>
      <w:szCs w:val="22"/>
      <w:lang w:val="en-GB"/>
    </w:rPr>
  </w:style>
  <w:style w:type="character" w:customStyle="1" w:styleId="BodyTextIndentChar">
    <w:name w:val="Body Text Indent Char"/>
    <w:basedOn w:val="DefaultParagraphFont"/>
    <w:link w:val="BodyTextIndent"/>
    <w:uiPriority w:val="99"/>
    <w:rsid w:val="00944AEB"/>
    <w:rPr>
      <w:lang w:val="en-GB"/>
    </w:rPr>
  </w:style>
  <w:style w:type="character" w:customStyle="1" w:styleId="Heading3Char">
    <w:name w:val="Heading 3 Char"/>
    <w:basedOn w:val="DefaultParagraphFont"/>
    <w:link w:val="Heading3"/>
    <w:uiPriority w:val="9"/>
    <w:rsid w:val="00944AEB"/>
    <w:rPr>
      <w:rFonts w:ascii="Calibri" w:eastAsiaTheme="majorEastAsia" w:hAnsi="Calibri" w:cstheme="majorBidi"/>
      <w:color w:val="84BF41"/>
      <w:lang w:val="en-GB"/>
    </w:rPr>
  </w:style>
  <w:style w:type="character" w:customStyle="1" w:styleId="Heading4Char">
    <w:name w:val="Heading 4 Char"/>
    <w:basedOn w:val="DefaultParagraphFont"/>
    <w:link w:val="Heading4"/>
    <w:uiPriority w:val="9"/>
    <w:rsid w:val="00944AEB"/>
    <w:rPr>
      <w:rFonts w:ascii="Calibri" w:eastAsiaTheme="majorEastAsia" w:hAnsi="Calibri" w:cstheme="majorBidi"/>
      <w:i/>
      <w:iCs/>
      <w:color w:val="84BF41"/>
      <w:lang w:val="en-GB"/>
    </w:rPr>
  </w:style>
  <w:style w:type="character" w:customStyle="1" w:styleId="Heading5Char">
    <w:name w:val="Heading 5 Char"/>
    <w:basedOn w:val="DefaultParagraphFont"/>
    <w:link w:val="Heading5"/>
    <w:uiPriority w:val="9"/>
    <w:semiHidden/>
    <w:rsid w:val="00944AEB"/>
    <w:rPr>
      <w:rFonts w:asciiTheme="majorHAnsi" w:eastAsiaTheme="majorEastAsia" w:hAnsiTheme="majorHAnsi" w:cstheme="majorBidi"/>
      <w:color w:val="3E762A" w:themeColor="accent1" w:themeShade="BF"/>
      <w:lang w:val="en-GB"/>
    </w:rPr>
  </w:style>
  <w:style w:type="character" w:customStyle="1" w:styleId="Heading6Char">
    <w:name w:val="Heading 6 Char"/>
    <w:basedOn w:val="DefaultParagraphFont"/>
    <w:link w:val="Heading6"/>
    <w:uiPriority w:val="9"/>
    <w:semiHidden/>
    <w:rsid w:val="00944AEB"/>
    <w:rPr>
      <w:rFonts w:asciiTheme="majorHAnsi" w:eastAsiaTheme="majorEastAsia" w:hAnsiTheme="majorHAnsi" w:cstheme="majorBidi"/>
      <w:color w:val="294E1C" w:themeColor="accent1" w:themeShade="7F"/>
      <w:lang w:val="en-GB"/>
    </w:rPr>
  </w:style>
  <w:style w:type="character" w:customStyle="1" w:styleId="Heading7Char">
    <w:name w:val="Heading 7 Char"/>
    <w:basedOn w:val="DefaultParagraphFont"/>
    <w:link w:val="Heading7"/>
    <w:uiPriority w:val="9"/>
    <w:semiHidden/>
    <w:rsid w:val="00944AEB"/>
    <w:rPr>
      <w:rFonts w:asciiTheme="majorHAnsi" w:eastAsiaTheme="majorEastAsia" w:hAnsiTheme="majorHAnsi" w:cstheme="majorBidi"/>
      <w:i/>
      <w:iCs/>
      <w:color w:val="294E1C" w:themeColor="accent1" w:themeShade="7F"/>
      <w:lang w:val="en-GB"/>
    </w:rPr>
  </w:style>
  <w:style w:type="character" w:customStyle="1" w:styleId="Heading8Char">
    <w:name w:val="Heading 8 Char"/>
    <w:basedOn w:val="DefaultParagraphFont"/>
    <w:link w:val="Heading8"/>
    <w:uiPriority w:val="9"/>
    <w:semiHidden/>
    <w:rsid w:val="00944AE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44AEB"/>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10"/>
    <w:qFormat/>
    <w:rsid w:val="00944AEB"/>
    <w:pPr>
      <w:spacing w:after="160" w:line="259" w:lineRule="auto"/>
      <w:contextualSpacing/>
    </w:pPr>
    <w:rPr>
      <w:rFonts w:ascii="Calibri" w:eastAsiaTheme="majorEastAsia" w:hAnsi="Calibri" w:cstheme="majorBidi"/>
      <w:b/>
      <w:color w:val="37454A"/>
      <w:spacing w:val="-10"/>
      <w:kern w:val="28"/>
      <w:sz w:val="56"/>
      <w:szCs w:val="56"/>
      <w:lang w:val="en-GB"/>
    </w:rPr>
  </w:style>
  <w:style w:type="character" w:customStyle="1" w:styleId="TitleChar">
    <w:name w:val="Title Char"/>
    <w:basedOn w:val="DefaultParagraphFont"/>
    <w:link w:val="Title"/>
    <w:uiPriority w:val="10"/>
    <w:rsid w:val="00944AEB"/>
    <w:rPr>
      <w:rFonts w:ascii="Calibri" w:eastAsiaTheme="majorEastAsia" w:hAnsi="Calibri" w:cstheme="majorBidi"/>
      <w:b/>
      <w:color w:val="37454A"/>
      <w:spacing w:val="-10"/>
      <w:kern w:val="28"/>
      <w:sz w:val="56"/>
      <w:szCs w:val="56"/>
      <w:lang w:val="en-GB"/>
    </w:rPr>
  </w:style>
  <w:style w:type="paragraph" w:customStyle="1" w:styleId="Default">
    <w:name w:val="Default"/>
    <w:basedOn w:val="Normal"/>
    <w:qFormat/>
    <w:rsid w:val="00944AEB"/>
    <w:pPr>
      <w:jc w:val="both"/>
    </w:pPr>
    <w:rPr>
      <w:rFonts w:ascii="Helvetica Neue" w:hAnsi="Helvetica Neue" w:cs="Calibri"/>
      <w:sz w:val="22"/>
      <w:szCs w:val="22"/>
      <w:lang w:val="en-GB" w:eastAsia="en-GB"/>
    </w:rPr>
  </w:style>
  <w:style w:type="character" w:styleId="UnresolvedMention">
    <w:name w:val="Unresolved Mention"/>
    <w:basedOn w:val="DefaultParagraphFont"/>
    <w:uiPriority w:val="99"/>
    <w:semiHidden/>
    <w:unhideWhenUsed/>
    <w:rsid w:val="00CC027E"/>
    <w:rPr>
      <w:color w:val="605E5C"/>
      <w:shd w:val="clear" w:color="auto" w:fill="E1DFDD"/>
    </w:rPr>
  </w:style>
  <w:style w:type="character" w:styleId="PageNumber">
    <w:name w:val="page number"/>
    <w:basedOn w:val="DefaultParagraphFont"/>
    <w:uiPriority w:val="99"/>
    <w:semiHidden/>
    <w:unhideWhenUsed/>
    <w:rsid w:val="00C8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070">
      <w:bodyDiv w:val="1"/>
      <w:marLeft w:val="0"/>
      <w:marRight w:val="0"/>
      <w:marTop w:val="0"/>
      <w:marBottom w:val="0"/>
      <w:divBdr>
        <w:top w:val="none" w:sz="0" w:space="0" w:color="auto"/>
        <w:left w:val="none" w:sz="0" w:space="0" w:color="auto"/>
        <w:bottom w:val="none" w:sz="0" w:space="0" w:color="auto"/>
        <w:right w:val="none" w:sz="0" w:space="0" w:color="auto"/>
      </w:divBdr>
    </w:div>
    <w:div w:id="24599746">
      <w:bodyDiv w:val="1"/>
      <w:marLeft w:val="0"/>
      <w:marRight w:val="0"/>
      <w:marTop w:val="0"/>
      <w:marBottom w:val="0"/>
      <w:divBdr>
        <w:top w:val="none" w:sz="0" w:space="0" w:color="auto"/>
        <w:left w:val="none" w:sz="0" w:space="0" w:color="auto"/>
        <w:bottom w:val="none" w:sz="0" w:space="0" w:color="auto"/>
        <w:right w:val="none" w:sz="0" w:space="0" w:color="auto"/>
      </w:divBdr>
    </w:div>
    <w:div w:id="161547196">
      <w:bodyDiv w:val="1"/>
      <w:marLeft w:val="0"/>
      <w:marRight w:val="0"/>
      <w:marTop w:val="0"/>
      <w:marBottom w:val="0"/>
      <w:divBdr>
        <w:top w:val="none" w:sz="0" w:space="0" w:color="auto"/>
        <w:left w:val="none" w:sz="0" w:space="0" w:color="auto"/>
        <w:bottom w:val="none" w:sz="0" w:space="0" w:color="auto"/>
        <w:right w:val="none" w:sz="0" w:space="0" w:color="auto"/>
      </w:divBdr>
    </w:div>
    <w:div w:id="362243425">
      <w:bodyDiv w:val="1"/>
      <w:marLeft w:val="0"/>
      <w:marRight w:val="0"/>
      <w:marTop w:val="0"/>
      <w:marBottom w:val="0"/>
      <w:divBdr>
        <w:top w:val="none" w:sz="0" w:space="0" w:color="auto"/>
        <w:left w:val="none" w:sz="0" w:space="0" w:color="auto"/>
        <w:bottom w:val="none" w:sz="0" w:space="0" w:color="auto"/>
        <w:right w:val="none" w:sz="0" w:space="0" w:color="auto"/>
      </w:divBdr>
    </w:div>
    <w:div w:id="418671668">
      <w:bodyDiv w:val="1"/>
      <w:marLeft w:val="0"/>
      <w:marRight w:val="0"/>
      <w:marTop w:val="0"/>
      <w:marBottom w:val="0"/>
      <w:divBdr>
        <w:top w:val="none" w:sz="0" w:space="0" w:color="auto"/>
        <w:left w:val="none" w:sz="0" w:space="0" w:color="auto"/>
        <w:bottom w:val="none" w:sz="0" w:space="0" w:color="auto"/>
        <w:right w:val="none" w:sz="0" w:space="0" w:color="auto"/>
      </w:divBdr>
    </w:div>
    <w:div w:id="441456232">
      <w:bodyDiv w:val="1"/>
      <w:marLeft w:val="0"/>
      <w:marRight w:val="0"/>
      <w:marTop w:val="0"/>
      <w:marBottom w:val="0"/>
      <w:divBdr>
        <w:top w:val="none" w:sz="0" w:space="0" w:color="auto"/>
        <w:left w:val="none" w:sz="0" w:space="0" w:color="auto"/>
        <w:bottom w:val="none" w:sz="0" w:space="0" w:color="auto"/>
        <w:right w:val="none" w:sz="0" w:space="0" w:color="auto"/>
      </w:divBdr>
    </w:div>
    <w:div w:id="532424080">
      <w:bodyDiv w:val="1"/>
      <w:marLeft w:val="0"/>
      <w:marRight w:val="0"/>
      <w:marTop w:val="0"/>
      <w:marBottom w:val="0"/>
      <w:divBdr>
        <w:top w:val="none" w:sz="0" w:space="0" w:color="auto"/>
        <w:left w:val="none" w:sz="0" w:space="0" w:color="auto"/>
        <w:bottom w:val="none" w:sz="0" w:space="0" w:color="auto"/>
        <w:right w:val="none" w:sz="0" w:space="0" w:color="auto"/>
      </w:divBdr>
    </w:div>
    <w:div w:id="599605796">
      <w:bodyDiv w:val="1"/>
      <w:marLeft w:val="0"/>
      <w:marRight w:val="0"/>
      <w:marTop w:val="0"/>
      <w:marBottom w:val="0"/>
      <w:divBdr>
        <w:top w:val="none" w:sz="0" w:space="0" w:color="auto"/>
        <w:left w:val="none" w:sz="0" w:space="0" w:color="auto"/>
        <w:bottom w:val="none" w:sz="0" w:space="0" w:color="auto"/>
        <w:right w:val="none" w:sz="0" w:space="0" w:color="auto"/>
      </w:divBdr>
    </w:div>
    <w:div w:id="632103090">
      <w:bodyDiv w:val="1"/>
      <w:marLeft w:val="0"/>
      <w:marRight w:val="0"/>
      <w:marTop w:val="0"/>
      <w:marBottom w:val="0"/>
      <w:divBdr>
        <w:top w:val="none" w:sz="0" w:space="0" w:color="auto"/>
        <w:left w:val="none" w:sz="0" w:space="0" w:color="auto"/>
        <w:bottom w:val="none" w:sz="0" w:space="0" w:color="auto"/>
        <w:right w:val="none" w:sz="0" w:space="0" w:color="auto"/>
      </w:divBdr>
    </w:div>
    <w:div w:id="638658202">
      <w:bodyDiv w:val="1"/>
      <w:marLeft w:val="0"/>
      <w:marRight w:val="0"/>
      <w:marTop w:val="0"/>
      <w:marBottom w:val="0"/>
      <w:divBdr>
        <w:top w:val="none" w:sz="0" w:space="0" w:color="auto"/>
        <w:left w:val="none" w:sz="0" w:space="0" w:color="auto"/>
        <w:bottom w:val="none" w:sz="0" w:space="0" w:color="auto"/>
        <w:right w:val="none" w:sz="0" w:space="0" w:color="auto"/>
      </w:divBdr>
    </w:div>
    <w:div w:id="741561749">
      <w:bodyDiv w:val="1"/>
      <w:marLeft w:val="0"/>
      <w:marRight w:val="0"/>
      <w:marTop w:val="0"/>
      <w:marBottom w:val="0"/>
      <w:divBdr>
        <w:top w:val="none" w:sz="0" w:space="0" w:color="auto"/>
        <w:left w:val="none" w:sz="0" w:space="0" w:color="auto"/>
        <w:bottom w:val="none" w:sz="0" w:space="0" w:color="auto"/>
        <w:right w:val="none" w:sz="0" w:space="0" w:color="auto"/>
      </w:divBdr>
    </w:div>
    <w:div w:id="771128943">
      <w:bodyDiv w:val="1"/>
      <w:marLeft w:val="0"/>
      <w:marRight w:val="0"/>
      <w:marTop w:val="0"/>
      <w:marBottom w:val="0"/>
      <w:divBdr>
        <w:top w:val="none" w:sz="0" w:space="0" w:color="auto"/>
        <w:left w:val="none" w:sz="0" w:space="0" w:color="auto"/>
        <w:bottom w:val="none" w:sz="0" w:space="0" w:color="auto"/>
        <w:right w:val="none" w:sz="0" w:space="0" w:color="auto"/>
      </w:divBdr>
    </w:div>
    <w:div w:id="776557671">
      <w:bodyDiv w:val="1"/>
      <w:marLeft w:val="0"/>
      <w:marRight w:val="0"/>
      <w:marTop w:val="0"/>
      <w:marBottom w:val="0"/>
      <w:divBdr>
        <w:top w:val="none" w:sz="0" w:space="0" w:color="auto"/>
        <w:left w:val="none" w:sz="0" w:space="0" w:color="auto"/>
        <w:bottom w:val="none" w:sz="0" w:space="0" w:color="auto"/>
        <w:right w:val="none" w:sz="0" w:space="0" w:color="auto"/>
      </w:divBdr>
    </w:div>
    <w:div w:id="911698071">
      <w:bodyDiv w:val="1"/>
      <w:marLeft w:val="0"/>
      <w:marRight w:val="0"/>
      <w:marTop w:val="0"/>
      <w:marBottom w:val="0"/>
      <w:divBdr>
        <w:top w:val="none" w:sz="0" w:space="0" w:color="auto"/>
        <w:left w:val="none" w:sz="0" w:space="0" w:color="auto"/>
        <w:bottom w:val="none" w:sz="0" w:space="0" w:color="auto"/>
        <w:right w:val="none" w:sz="0" w:space="0" w:color="auto"/>
      </w:divBdr>
    </w:div>
    <w:div w:id="1000159705">
      <w:bodyDiv w:val="1"/>
      <w:marLeft w:val="0"/>
      <w:marRight w:val="0"/>
      <w:marTop w:val="0"/>
      <w:marBottom w:val="0"/>
      <w:divBdr>
        <w:top w:val="none" w:sz="0" w:space="0" w:color="auto"/>
        <w:left w:val="none" w:sz="0" w:space="0" w:color="auto"/>
        <w:bottom w:val="none" w:sz="0" w:space="0" w:color="auto"/>
        <w:right w:val="none" w:sz="0" w:space="0" w:color="auto"/>
      </w:divBdr>
    </w:div>
    <w:div w:id="1250773769">
      <w:bodyDiv w:val="1"/>
      <w:marLeft w:val="0"/>
      <w:marRight w:val="0"/>
      <w:marTop w:val="0"/>
      <w:marBottom w:val="0"/>
      <w:divBdr>
        <w:top w:val="none" w:sz="0" w:space="0" w:color="auto"/>
        <w:left w:val="none" w:sz="0" w:space="0" w:color="auto"/>
        <w:bottom w:val="none" w:sz="0" w:space="0" w:color="auto"/>
        <w:right w:val="none" w:sz="0" w:space="0" w:color="auto"/>
      </w:divBdr>
    </w:div>
    <w:div w:id="1283224113">
      <w:bodyDiv w:val="1"/>
      <w:marLeft w:val="0"/>
      <w:marRight w:val="0"/>
      <w:marTop w:val="0"/>
      <w:marBottom w:val="0"/>
      <w:divBdr>
        <w:top w:val="none" w:sz="0" w:space="0" w:color="auto"/>
        <w:left w:val="none" w:sz="0" w:space="0" w:color="auto"/>
        <w:bottom w:val="none" w:sz="0" w:space="0" w:color="auto"/>
        <w:right w:val="none" w:sz="0" w:space="0" w:color="auto"/>
      </w:divBdr>
    </w:div>
    <w:div w:id="1292203888">
      <w:bodyDiv w:val="1"/>
      <w:marLeft w:val="0"/>
      <w:marRight w:val="0"/>
      <w:marTop w:val="0"/>
      <w:marBottom w:val="0"/>
      <w:divBdr>
        <w:top w:val="none" w:sz="0" w:space="0" w:color="auto"/>
        <w:left w:val="none" w:sz="0" w:space="0" w:color="auto"/>
        <w:bottom w:val="none" w:sz="0" w:space="0" w:color="auto"/>
        <w:right w:val="none" w:sz="0" w:space="0" w:color="auto"/>
      </w:divBdr>
    </w:div>
    <w:div w:id="1306739831">
      <w:bodyDiv w:val="1"/>
      <w:marLeft w:val="0"/>
      <w:marRight w:val="0"/>
      <w:marTop w:val="0"/>
      <w:marBottom w:val="0"/>
      <w:divBdr>
        <w:top w:val="none" w:sz="0" w:space="0" w:color="auto"/>
        <w:left w:val="none" w:sz="0" w:space="0" w:color="auto"/>
        <w:bottom w:val="none" w:sz="0" w:space="0" w:color="auto"/>
        <w:right w:val="none" w:sz="0" w:space="0" w:color="auto"/>
      </w:divBdr>
    </w:div>
    <w:div w:id="1396469731">
      <w:bodyDiv w:val="1"/>
      <w:marLeft w:val="0"/>
      <w:marRight w:val="0"/>
      <w:marTop w:val="0"/>
      <w:marBottom w:val="0"/>
      <w:divBdr>
        <w:top w:val="none" w:sz="0" w:space="0" w:color="auto"/>
        <w:left w:val="none" w:sz="0" w:space="0" w:color="auto"/>
        <w:bottom w:val="none" w:sz="0" w:space="0" w:color="auto"/>
        <w:right w:val="none" w:sz="0" w:space="0" w:color="auto"/>
      </w:divBdr>
    </w:div>
    <w:div w:id="1422872223">
      <w:bodyDiv w:val="1"/>
      <w:marLeft w:val="0"/>
      <w:marRight w:val="0"/>
      <w:marTop w:val="0"/>
      <w:marBottom w:val="0"/>
      <w:divBdr>
        <w:top w:val="none" w:sz="0" w:space="0" w:color="auto"/>
        <w:left w:val="none" w:sz="0" w:space="0" w:color="auto"/>
        <w:bottom w:val="none" w:sz="0" w:space="0" w:color="auto"/>
        <w:right w:val="none" w:sz="0" w:space="0" w:color="auto"/>
      </w:divBdr>
    </w:div>
    <w:div w:id="1500151340">
      <w:bodyDiv w:val="1"/>
      <w:marLeft w:val="0"/>
      <w:marRight w:val="0"/>
      <w:marTop w:val="0"/>
      <w:marBottom w:val="0"/>
      <w:divBdr>
        <w:top w:val="none" w:sz="0" w:space="0" w:color="auto"/>
        <w:left w:val="none" w:sz="0" w:space="0" w:color="auto"/>
        <w:bottom w:val="none" w:sz="0" w:space="0" w:color="auto"/>
        <w:right w:val="none" w:sz="0" w:space="0" w:color="auto"/>
      </w:divBdr>
    </w:div>
    <w:div w:id="1546873598">
      <w:bodyDiv w:val="1"/>
      <w:marLeft w:val="0"/>
      <w:marRight w:val="0"/>
      <w:marTop w:val="0"/>
      <w:marBottom w:val="0"/>
      <w:divBdr>
        <w:top w:val="none" w:sz="0" w:space="0" w:color="auto"/>
        <w:left w:val="none" w:sz="0" w:space="0" w:color="auto"/>
        <w:bottom w:val="none" w:sz="0" w:space="0" w:color="auto"/>
        <w:right w:val="none" w:sz="0" w:space="0" w:color="auto"/>
      </w:divBdr>
    </w:div>
    <w:div w:id="1879467901">
      <w:bodyDiv w:val="1"/>
      <w:marLeft w:val="0"/>
      <w:marRight w:val="0"/>
      <w:marTop w:val="0"/>
      <w:marBottom w:val="0"/>
      <w:divBdr>
        <w:top w:val="none" w:sz="0" w:space="0" w:color="auto"/>
        <w:left w:val="none" w:sz="0" w:space="0" w:color="auto"/>
        <w:bottom w:val="none" w:sz="0" w:space="0" w:color="auto"/>
        <w:right w:val="none" w:sz="0" w:space="0" w:color="auto"/>
      </w:divBdr>
    </w:div>
    <w:div w:id="1881240305">
      <w:bodyDiv w:val="1"/>
      <w:marLeft w:val="0"/>
      <w:marRight w:val="0"/>
      <w:marTop w:val="0"/>
      <w:marBottom w:val="0"/>
      <w:divBdr>
        <w:top w:val="none" w:sz="0" w:space="0" w:color="auto"/>
        <w:left w:val="none" w:sz="0" w:space="0" w:color="auto"/>
        <w:bottom w:val="none" w:sz="0" w:space="0" w:color="auto"/>
        <w:right w:val="none" w:sz="0" w:space="0" w:color="auto"/>
      </w:divBdr>
    </w:div>
    <w:div w:id="1902911216">
      <w:bodyDiv w:val="1"/>
      <w:marLeft w:val="0"/>
      <w:marRight w:val="0"/>
      <w:marTop w:val="0"/>
      <w:marBottom w:val="0"/>
      <w:divBdr>
        <w:top w:val="none" w:sz="0" w:space="0" w:color="auto"/>
        <w:left w:val="none" w:sz="0" w:space="0" w:color="auto"/>
        <w:bottom w:val="none" w:sz="0" w:space="0" w:color="auto"/>
        <w:right w:val="none" w:sz="0" w:space="0" w:color="auto"/>
      </w:divBdr>
    </w:div>
    <w:div w:id="1943758790">
      <w:bodyDiv w:val="1"/>
      <w:marLeft w:val="0"/>
      <w:marRight w:val="0"/>
      <w:marTop w:val="0"/>
      <w:marBottom w:val="0"/>
      <w:divBdr>
        <w:top w:val="none" w:sz="0" w:space="0" w:color="auto"/>
        <w:left w:val="none" w:sz="0" w:space="0" w:color="auto"/>
        <w:bottom w:val="none" w:sz="0" w:space="0" w:color="auto"/>
        <w:right w:val="none" w:sz="0" w:space="0" w:color="auto"/>
      </w:divBdr>
    </w:div>
    <w:div w:id="20264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idential.reporting@selfhelpafric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desk@greentech4ce.or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7A1F217-69FF-48F5-9C42-1969C3BC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7005</Words>
  <Characters>39933</Characters>
  <Application>Microsoft Office Word</Application>
  <DocSecurity>4</DocSecurity>
  <Lines>332</Lines>
  <Paragraphs>93</Paragraphs>
  <ScaleCrop>false</ScaleCrop>
  <Company/>
  <LinksUpToDate>false</LinksUpToDate>
  <CharactersWithSpaces>46845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Lubomba Nachilobe</cp:lastModifiedBy>
  <cp:revision>12</cp:revision>
  <dcterms:created xsi:type="dcterms:W3CDTF">2026-04-14T11:23:00Z</dcterms:created>
  <dcterms:modified xsi:type="dcterms:W3CDTF">2026-04-14T12:33:00Z</dcterms:modified>
</cp:coreProperties>
</file>